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8206" w:type="dxa"/>
        <w:tblInd w:w="-372" w:type="dxa"/>
        <w:tblLook w:val="01E0" w:firstRow="1" w:lastRow="1" w:firstColumn="1" w:lastColumn="1" w:noHBand="0" w:noVBand="0"/>
      </w:tblPr>
      <w:tblGrid>
        <w:gridCol w:w="3990"/>
        <w:gridCol w:w="5279"/>
        <w:gridCol w:w="2701"/>
        <w:gridCol w:w="6236"/>
      </w:tblGrid>
      <w:tr w:rsidR="00DE30DC" w:rsidRPr="00D915CF" w:rsidTr="005A5413">
        <w:trPr>
          <w:trHeight w:val="851"/>
        </w:trPr>
        <w:tc>
          <w:tcPr>
            <w:tcW w:w="3990" w:type="dxa"/>
          </w:tcPr>
          <w:p w:rsidR="00DE30DC" w:rsidRPr="00E305E3" w:rsidRDefault="00DE30DC" w:rsidP="005A5413">
            <w:pPr>
              <w:pStyle w:val="abc"/>
              <w:spacing w:line="240" w:lineRule="atLeast"/>
              <w:ind w:right="266"/>
              <w:jc w:val="center"/>
              <w:rPr>
                <w:rFonts w:ascii="Times New Roman" w:hAnsi="Times New Roman"/>
                <w:b/>
                <w:color w:val="000000" w:themeColor="text1"/>
                <w:sz w:val="26"/>
                <w:szCs w:val="26"/>
              </w:rPr>
            </w:pPr>
            <w:r w:rsidRPr="00E305E3">
              <w:rPr>
                <w:rFonts w:ascii="Times New Roman" w:hAnsi="Times New Roman"/>
                <w:b/>
                <w:color w:val="000000" w:themeColor="text1"/>
                <w:sz w:val="26"/>
                <w:szCs w:val="26"/>
              </w:rPr>
              <w:t xml:space="preserve">     BỘ TƯ PHÁP</w:t>
            </w:r>
          </w:p>
          <w:p w:rsidR="00DE30DC" w:rsidRPr="00D915CF" w:rsidDel="00944A4F" w:rsidRDefault="00DE30DC" w:rsidP="005A5413">
            <w:pPr>
              <w:spacing w:line="240" w:lineRule="atLeast"/>
              <w:jc w:val="center"/>
              <w:rPr>
                <w:b/>
                <w:color w:val="000000" w:themeColor="text1"/>
                <w:sz w:val="26"/>
                <w:szCs w:val="28"/>
              </w:rPr>
            </w:pPr>
            <w:r>
              <w:rPr>
                <w:noProof/>
                <w:color w:val="000000" w:themeColor="text1"/>
                <w:sz w:val="28"/>
                <w:szCs w:val="28"/>
              </w:rPr>
              <mc:AlternateContent>
                <mc:Choice Requires="wps">
                  <w:drawing>
                    <wp:anchor distT="0" distB="0" distL="114300" distR="114300" simplePos="0" relativeHeight="251660288" behindDoc="0" locked="0" layoutInCell="1" allowOverlap="1" wp14:anchorId="4488AFEB" wp14:editId="4AD19ED1">
                      <wp:simplePos x="0" y="0"/>
                      <wp:positionH relativeFrom="column">
                        <wp:posOffset>842010</wp:posOffset>
                      </wp:positionH>
                      <wp:positionV relativeFrom="paragraph">
                        <wp:posOffset>123825</wp:posOffset>
                      </wp:positionV>
                      <wp:extent cx="7524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54AAD"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3pt,9.75pt" to="125.5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L6NHAIAADUEAAAOAAAAZHJzL2Uyb0RvYy54bWysU02P2yAQvVfqf0DcE9upk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"/>
                  </w:pict>
                </mc:Fallback>
              </mc:AlternateContent>
            </w:r>
          </w:p>
        </w:tc>
        <w:tc>
          <w:tcPr>
            <w:tcW w:w="5279" w:type="dxa"/>
          </w:tcPr>
          <w:p w:rsidR="00DE30DC" w:rsidRPr="00D915CF" w:rsidRDefault="00DE30DC" w:rsidP="005A5413">
            <w:pPr>
              <w:pStyle w:val="abc"/>
              <w:spacing w:line="240" w:lineRule="auto"/>
              <w:ind w:left="-85" w:right="-142"/>
              <w:jc w:val="center"/>
              <w:rPr>
                <w:rFonts w:ascii="Times New Roman" w:hAnsi="Times New Roman"/>
                <w:b/>
                <w:color w:val="000000" w:themeColor="text1"/>
                <w:spacing w:val="-10"/>
                <w:sz w:val="26"/>
                <w:szCs w:val="26"/>
              </w:rPr>
            </w:pPr>
            <w:r w:rsidRPr="00D915CF">
              <w:rPr>
                <w:rFonts w:ascii="Times New Roman" w:hAnsi="Times New Roman"/>
                <w:b/>
                <w:color w:val="000000" w:themeColor="text1"/>
                <w:spacing w:val="-10"/>
                <w:sz w:val="26"/>
                <w:szCs w:val="26"/>
              </w:rPr>
              <w:t>CỘNG HOÀ XÃ HỘI CHỦ NGHĨA VIỆT NAM</w:t>
            </w:r>
          </w:p>
          <w:p w:rsidR="00DE30DC" w:rsidRPr="00D915CF" w:rsidDel="00944A4F" w:rsidRDefault="00DE30DC" w:rsidP="005A5413">
            <w:pPr>
              <w:spacing w:line="240" w:lineRule="atLeast"/>
              <w:jc w:val="center"/>
              <w:rPr>
                <w:b/>
                <w:color w:val="000000" w:themeColor="text1"/>
                <w:sz w:val="26"/>
                <w:szCs w:val="28"/>
              </w:rPr>
            </w:pPr>
            <w:r>
              <w:rPr>
                <w:b/>
                <w:noProof/>
                <w:color w:val="000000" w:themeColor="text1"/>
                <w:sz w:val="28"/>
                <w:szCs w:val="28"/>
              </w:rPr>
              <mc:AlternateContent>
                <mc:Choice Requires="wps">
                  <w:drawing>
                    <wp:anchor distT="0" distB="0" distL="114300" distR="114300" simplePos="0" relativeHeight="251661312" behindDoc="0" locked="0" layoutInCell="1" allowOverlap="1" wp14:anchorId="079B120F" wp14:editId="63108637">
                      <wp:simplePos x="0" y="0"/>
                      <wp:positionH relativeFrom="column">
                        <wp:posOffset>527685</wp:posOffset>
                      </wp:positionH>
                      <wp:positionV relativeFrom="margin">
                        <wp:posOffset>419100</wp:posOffset>
                      </wp:positionV>
                      <wp:extent cx="2209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09800" cy="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8B4D2"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 from="41.55pt,33pt" to="215.5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" strokeweight="1pt">
                      <v:stroke startarrowwidth="narrow" startarrowlength="short" endarrowwidth="narrow" endarrowlength="short"/>
                      <w10:wrap anchory="margin"/>
                    </v:line>
                  </w:pict>
                </mc:Fallback>
              </mc:AlternateContent>
            </w:r>
            <w:r w:rsidRPr="00D915CF">
              <w:rPr>
                <w:b/>
                <w:color w:val="000000" w:themeColor="text1"/>
                <w:sz w:val="28"/>
                <w:szCs w:val="28"/>
              </w:rPr>
              <w:t>Độc lập - Tự do - Hạnh phúc</w:t>
            </w:r>
          </w:p>
        </w:tc>
        <w:tc>
          <w:tcPr>
            <w:tcW w:w="2701" w:type="dxa"/>
            <w:shd w:val="clear" w:color="auto" w:fill="auto"/>
          </w:tcPr>
          <w:p w:rsidR="00DE30DC" w:rsidRPr="00D915CF" w:rsidRDefault="00DE30DC" w:rsidP="005A5413">
            <w:pPr>
              <w:spacing w:line="240" w:lineRule="atLeast"/>
              <w:ind w:right="-216"/>
              <w:jc w:val="center"/>
              <w:rPr>
                <w:b/>
                <w:color w:val="000000" w:themeColor="text1"/>
                <w:sz w:val="22"/>
                <w:szCs w:val="22"/>
              </w:rPr>
            </w:pPr>
          </w:p>
        </w:tc>
        <w:tc>
          <w:tcPr>
            <w:tcW w:w="6236" w:type="dxa"/>
            <w:shd w:val="clear" w:color="auto" w:fill="auto"/>
          </w:tcPr>
          <w:p w:rsidR="00DE30DC" w:rsidRPr="00D915CF" w:rsidRDefault="00DE30DC" w:rsidP="005A5413">
            <w:pPr>
              <w:spacing w:line="240" w:lineRule="atLeast"/>
              <w:jc w:val="center"/>
              <w:rPr>
                <w:b/>
                <w:color w:val="000000" w:themeColor="text1"/>
                <w:sz w:val="26"/>
                <w:szCs w:val="28"/>
              </w:rPr>
            </w:pPr>
            <w:r w:rsidRPr="00D915CF">
              <w:rPr>
                <w:b/>
                <w:color w:val="000000" w:themeColor="text1"/>
                <w:sz w:val="26"/>
                <w:szCs w:val="28"/>
              </w:rPr>
              <w:t>Ủ NGHĨA VIỆT NAM</w:t>
            </w:r>
          </w:p>
          <w:p w:rsidR="00DE30DC" w:rsidRPr="00D915CF" w:rsidRDefault="00DE30DC" w:rsidP="005A5413">
            <w:pPr>
              <w:spacing w:line="240" w:lineRule="atLeast"/>
              <w:ind w:firstLine="540"/>
              <w:jc w:val="center"/>
              <w:rPr>
                <w:b/>
                <w:color w:val="000000" w:themeColor="text1"/>
                <w:sz w:val="26"/>
                <w:szCs w:val="28"/>
              </w:rPr>
            </w:pPr>
            <w:r w:rsidRPr="00D915CF">
              <w:rPr>
                <w:i/>
                <w:noProof/>
                <w:color w:val="000000" w:themeColor="text1"/>
                <w:sz w:val="28"/>
                <w:szCs w:val="28"/>
              </w:rPr>
              <mc:AlternateContent>
                <mc:Choice Requires="wps">
                  <w:drawing>
                    <wp:anchor distT="4294967295" distB="4294967295" distL="114300" distR="114300" simplePos="0" relativeHeight="251659264" behindDoc="0" locked="0" layoutInCell="1" allowOverlap="1" wp14:anchorId="2515F8F2" wp14:editId="56FC10D0">
                      <wp:simplePos x="0" y="0"/>
                      <wp:positionH relativeFrom="column">
                        <wp:posOffset>1139190</wp:posOffset>
                      </wp:positionH>
                      <wp:positionV relativeFrom="paragraph">
                        <wp:posOffset>220979</wp:posOffset>
                      </wp:positionV>
                      <wp:extent cx="20193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329ED"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9.7pt,17.4pt" to="248.7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uWL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"/>
                  </w:pict>
                </mc:Fallback>
              </mc:AlternateContent>
            </w:r>
            <w:r w:rsidRPr="00D915CF">
              <w:rPr>
                <w:b/>
                <w:color w:val="000000" w:themeColor="text1"/>
                <w:sz w:val="26"/>
                <w:szCs w:val="28"/>
              </w:rPr>
              <w:t>Độc lập - Tự do - Hạnh phúc</w:t>
            </w:r>
          </w:p>
        </w:tc>
      </w:tr>
      <w:tr w:rsidR="00DE30DC" w:rsidRPr="00D915CF" w:rsidTr="005A5413">
        <w:trPr>
          <w:trHeight w:val="445"/>
        </w:trPr>
        <w:tc>
          <w:tcPr>
            <w:tcW w:w="3990" w:type="dxa"/>
          </w:tcPr>
          <w:p w:rsidR="00DE30DC" w:rsidRPr="0024031D" w:rsidRDefault="00DE30DC" w:rsidP="005A5413">
            <w:pPr>
              <w:tabs>
                <w:tab w:val="left" w:pos="2340"/>
              </w:tabs>
              <w:rPr>
                <w:i/>
                <w:noProof/>
                <w:color w:val="000000" w:themeColor="text1"/>
                <w:sz w:val="28"/>
                <w:szCs w:val="28"/>
              </w:rPr>
            </w:pPr>
            <w:r>
              <w:rPr>
                <w:noProof/>
                <w:color w:val="000000" w:themeColor="text1"/>
                <w:sz w:val="28"/>
                <w:szCs w:val="28"/>
              </w:rPr>
              <w:t xml:space="preserve">                      </w:t>
            </w:r>
            <w:r w:rsidRPr="0024031D">
              <w:rPr>
                <w:i/>
                <w:noProof/>
                <w:color w:val="000000" w:themeColor="text1"/>
                <w:sz w:val="28"/>
                <w:szCs w:val="28"/>
              </w:rPr>
              <w:t xml:space="preserve">Dự thảo </w:t>
            </w:r>
          </w:p>
        </w:tc>
        <w:tc>
          <w:tcPr>
            <w:tcW w:w="5279" w:type="dxa"/>
          </w:tcPr>
          <w:p w:rsidR="00DE30DC" w:rsidRPr="008A393B" w:rsidRDefault="00DE30DC" w:rsidP="005A5413">
            <w:pPr>
              <w:spacing w:line="240" w:lineRule="atLeast"/>
              <w:jc w:val="center"/>
              <w:rPr>
                <w:noProof/>
                <w:color w:val="000000" w:themeColor="text1"/>
                <w:sz w:val="28"/>
                <w:szCs w:val="28"/>
              </w:rPr>
            </w:pPr>
            <w:r w:rsidRPr="00997239">
              <w:rPr>
                <w:i/>
                <w:color w:val="000000" w:themeColor="text1"/>
                <w:sz w:val="28"/>
                <w:szCs w:val="28"/>
              </w:rPr>
              <w:t xml:space="preserve">Hà Nội, ngày   </w:t>
            </w:r>
            <w:r>
              <w:rPr>
                <w:i/>
                <w:color w:val="000000" w:themeColor="text1"/>
                <w:sz w:val="28"/>
                <w:szCs w:val="28"/>
              </w:rPr>
              <w:t xml:space="preserve"> </w:t>
            </w:r>
            <w:r w:rsidRPr="00997239">
              <w:rPr>
                <w:i/>
                <w:color w:val="000000" w:themeColor="text1"/>
                <w:sz w:val="28"/>
                <w:szCs w:val="28"/>
              </w:rPr>
              <w:t xml:space="preserve"> tháng </w:t>
            </w:r>
            <w:r>
              <w:rPr>
                <w:i/>
                <w:color w:val="000000" w:themeColor="text1"/>
                <w:sz w:val="28"/>
                <w:szCs w:val="28"/>
              </w:rPr>
              <w:t>3</w:t>
            </w:r>
            <w:r w:rsidRPr="00997239">
              <w:rPr>
                <w:i/>
                <w:color w:val="000000" w:themeColor="text1"/>
                <w:sz w:val="28"/>
                <w:szCs w:val="28"/>
              </w:rPr>
              <w:t xml:space="preserve"> năm 202</w:t>
            </w:r>
            <w:r>
              <w:rPr>
                <w:i/>
                <w:color w:val="000000" w:themeColor="text1"/>
                <w:sz w:val="28"/>
                <w:szCs w:val="28"/>
              </w:rPr>
              <w:t>2</w:t>
            </w:r>
          </w:p>
        </w:tc>
        <w:tc>
          <w:tcPr>
            <w:tcW w:w="2701" w:type="dxa"/>
            <w:shd w:val="clear" w:color="auto" w:fill="auto"/>
          </w:tcPr>
          <w:p w:rsidR="00DE30DC" w:rsidRPr="00D915CF" w:rsidRDefault="00DE30DC" w:rsidP="005A5413">
            <w:pPr>
              <w:spacing w:line="240" w:lineRule="atLeast"/>
              <w:jc w:val="center"/>
              <w:rPr>
                <w:color w:val="000000" w:themeColor="text1"/>
                <w:szCs w:val="28"/>
              </w:rPr>
            </w:pPr>
          </w:p>
        </w:tc>
        <w:tc>
          <w:tcPr>
            <w:tcW w:w="6236" w:type="dxa"/>
            <w:shd w:val="clear" w:color="auto" w:fill="auto"/>
          </w:tcPr>
          <w:p w:rsidR="00DE30DC" w:rsidRPr="00D915CF" w:rsidRDefault="00DE30DC" w:rsidP="005A5413">
            <w:pPr>
              <w:spacing w:line="240" w:lineRule="atLeast"/>
              <w:jc w:val="center"/>
              <w:rPr>
                <w:i/>
                <w:color w:val="000000" w:themeColor="text1"/>
                <w:szCs w:val="28"/>
              </w:rPr>
            </w:pPr>
          </w:p>
          <w:p w:rsidR="00DE30DC" w:rsidRPr="00D915CF" w:rsidRDefault="00DE30DC" w:rsidP="005A5413">
            <w:pPr>
              <w:spacing w:line="240" w:lineRule="atLeast"/>
              <w:jc w:val="center"/>
              <w:rPr>
                <w:b/>
                <w:color w:val="000000" w:themeColor="text1"/>
                <w:szCs w:val="28"/>
              </w:rPr>
            </w:pPr>
            <w:r w:rsidRPr="00D915CF">
              <w:rPr>
                <w:i/>
                <w:color w:val="000000" w:themeColor="text1"/>
                <w:sz w:val="28"/>
                <w:szCs w:val="28"/>
              </w:rPr>
              <w:t>Hà Nội, ngày    tháng 6 năm 2021</w:t>
            </w:r>
          </w:p>
        </w:tc>
      </w:tr>
    </w:tbl>
    <w:p w:rsidR="00DE30DC" w:rsidRPr="00D915CF" w:rsidRDefault="00DE30DC" w:rsidP="00DE30DC">
      <w:pPr>
        <w:spacing w:line="240" w:lineRule="atLeast"/>
        <w:jc w:val="center"/>
        <w:rPr>
          <w:b/>
          <w:color w:val="000000" w:themeColor="text1"/>
          <w:sz w:val="28"/>
          <w:szCs w:val="28"/>
        </w:rPr>
      </w:pPr>
    </w:p>
    <w:p w:rsidR="00DE30DC" w:rsidRPr="00D915CF" w:rsidRDefault="00DE30DC" w:rsidP="00DE30DC">
      <w:pPr>
        <w:spacing w:line="240" w:lineRule="atLeast"/>
        <w:jc w:val="center"/>
        <w:rPr>
          <w:b/>
          <w:color w:val="000000" w:themeColor="text1"/>
          <w:sz w:val="32"/>
          <w:szCs w:val="32"/>
        </w:rPr>
      </w:pPr>
      <w:r w:rsidRPr="00D915CF">
        <w:rPr>
          <w:b/>
          <w:color w:val="000000" w:themeColor="text1"/>
          <w:sz w:val="32"/>
          <w:szCs w:val="32"/>
        </w:rPr>
        <w:t xml:space="preserve">BÁO CÁO </w:t>
      </w:r>
    </w:p>
    <w:p w:rsidR="00DE30DC" w:rsidRPr="00D915CF" w:rsidRDefault="00DE30DC" w:rsidP="00DE30DC">
      <w:pPr>
        <w:spacing w:before="120" w:line="240" w:lineRule="atLeast"/>
        <w:jc w:val="center"/>
        <w:rPr>
          <w:b/>
          <w:color w:val="000000" w:themeColor="text1"/>
          <w:sz w:val="28"/>
          <w:szCs w:val="28"/>
        </w:rPr>
      </w:pPr>
      <w:r>
        <w:rPr>
          <w:b/>
          <w:color w:val="000000" w:themeColor="text1"/>
          <w:sz w:val="28"/>
          <w:szCs w:val="28"/>
        </w:rPr>
        <w:t xml:space="preserve">Một số nội dung </w:t>
      </w:r>
      <w:r w:rsidRPr="00D915CF">
        <w:rPr>
          <w:b/>
          <w:color w:val="000000" w:themeColor="text1"/>
          <w:sz w:val="28"/>
          <w:szCs w:val="28"/>
        </w:rPr>
        <w:t>định hướng xây dựng dự thảo Nghị định sửa đổi, bổ sung một số điều của Nghị định số 55/2011/NĐ-CP ngày 04/7/2011 của Chính phủ quy định chức năng, nhiệm vụ, quyền hạn và tổ chức bộ máy của tổ chức pháp chế</w:t>
      </w:r>
    </w:p>
    <w:p w:rsidR="00DE30DC" w:rsidRPr="00D915CF" w:rsidRDefault="00DE30DC" w:rsidP="00DE30DC">
      <w:pPr>
        <w:spacing w:line="240" w:lineRule="atLeast"/>
        <w:jc w:val="center"/>
        <w:rPr>
          <w:color w:val="000000" w:themeColor="text1"/>
          <w:sz w:val="28"/>
          <w:szCs w:val="28"/>
        </w:rPr>
      </w:pPr>
      <w:r w:rsidRPr="00D915CF">
        <w:rPr>
          <w:b/>
          <w:noProof/>
          <w:color w:val="000000" w:themeColor="text1"/>
        </w:rPr>
        <mc:AlternateContent>
          <mc:Choice Requires="wps">
            <w:drawing>
              <wp:anchor distT="0" distB="0" distL="114300" distR="114300" simplePos="0" relativeHeight="251662336" behindDoc="0" locked="0" layoutInCell="1" allowOverlap="1" wp14:anchorId="1F7CB25E" wp14:editId="0DD37A72">
                <wp:simplePos x="0" y="0"/>
                <wp:positionH relativeFrom="column">
                  <wp:posOffset>2701290</wp:posOffset>
                </wp:positionH>
                <wp:positionV relativeFrom="paragraph">
                  <wp:posOffset>66040</wp:posOffset>
                </wp:positionV>
                <wp:extent cx="4191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419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015BBC1"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7pt,5.2pt" to="245.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" strokecolor="#4579b8 [3044]"/>
            </w:pict>
          </mc:Fallback>
        </mc:AlternateConten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6B25DA">
        <w:rPr>
          <w:b/>
          <w:color w:val="000000" w:themeColor="text1"/>
          <w:sz w:val="28"/>
          <w:szCs w:val="28"/>
        </w:rPr>
        <w:t>I</w:t>
      </w:r>
      <w:r w:rsidRPr="00751F8E">
        <w:rPr>
          <w:rFonts w:ascii="Times New Roman" w:hAnsi="Times New Roman"/>
          <w:b/>
          <w:color w:val="000000"/>
          <w:sz w:val="28"/>
          <w:szCs w:val="28"/>
        </w:rPr>
        <w:t xml:space="preserve">. MỤC ĐÍCH, YÊU CẦU VỀ VIỆC XÂY DỰNG DỰ THẢO NGHỊ ĐỊNH SỬA ĐỔI, BỔ SUNG MỘT SỐ ĐIỀU CỦA NGHỊ ĐỊNH SỐ 55/2011/NĐ-CP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 xml:space="preserve">1. Mục đích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Thể chế hóa kịp thời, đầy đủ, sâu sắc, cụ thể các chủ trương, quan điểm, định hướng của Đảng và pháp luật của nhà nước trong công tác pháp chế;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Bảo đảm tính hợp hiến, hợp pháp; tính thống nhất, đồng bộ với các VBQPPL hiện hành có liên quan đến công tác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Hoàn thiện khuôn khổ pháp luật nhằm nâng cao chất lượng, hiệu quả công tác pháp chế, góp phần xây dựng hệ thống pháp luật và thi hành pháp luật thống nhất, đồng bộ, khả thi, minh bạch, dễ tiếp cận, hiệu lực và hiệu quả phục vụ đắc lực cho sự nghiệp phát triển đất nước trong thời kỳ công nghiệp hóa, hiện đại hóa và hội nhập quốc tế sâu rộng;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Tháo gỡ một số khó khăn, vướng mắc trong việc thực hiện Nghị định 55/2011/NĐ-CP thời gian qua.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 Yêu cầu</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Bám sát chính sách, chủ trương, quan điểm định hướng của Đảng; kịp thời cập nhật, bổ sung các quy định pháp luật hiện hành về công tác pháp chế; </w:t>
      </w:r>
    </w:p>
    <w:p w:rsidR="00DE30DC" w:rsidRPr="00751F8E" w:rsidRDefault="00DE30DC" w:rsidP="00534E2C">
      <w:pPr>
        <w:pStyle w:val="BodyText"/>
        <w:spacing w:before="240" w:line="340" w:lineRule="exact"/>
        <w:ind w:firstLine="567"/>
        <w:rPr>
          <w:rFonts w:ascii="Times New Roman" w:hAnsi="Times New Roman"/>
          <w:color w:val="000000"/>
          <w:spacing w:val="-6"/>
          <w:sz w:val="28"/>
          <w:szCs w:val="28"/>
        </w:rPr>
      </w:pPr>
      <w:r w:rsidRPr="00751F8E">
        <w:rPr>
          <w:rFonts w:ascii="Times New Roman" w:hAnsi="Times New Roman"/>
          <w:color w:val="000000"/>
          <w:spacing w:val="-6"/>
          <w:sz w:val="28"/>
          <w:szCs w:val="28"/>
        </w:rPr>
        <w:t xml:space="preserve">- Căn cứ vào kết quả tổng kết 10 năm thực hiện Nghị định số 55/2011/NĐ-CP.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Bảo đảm tính khả thi, phù hợp với điều kiện thực tế triển khai công tác pháp chế.</w:t>
      </w:r>
    </w:p>
    <w:p w:rsidR="00DE30DC" w:rsidRPr="00751F8E" w:rsidRDefault="00DE30DC" w:rsidP="00534E2C">
      <w:pPr>
        <w:pStyle w:val="BodyText"/>
        <w:spacing w:before="240" w:line="340" w:lineRule="exact"/>
        <w:ind w:firstLine="567"/>
        <w:rPr>
          <w:rFonts w:ascii="Times New Roman Bold" w:hAnsi="Times New Roman Bold"/>
          <w:b/>
          <w:color w:val="000000"/>
          <w:spacing w:val="-6"/>
          <w:sz w:val="28"/>
          <w:szCs w:val="28"/>
        </w:rPr>
      </w:pPr>
      <w:r w:rsidRPr="00751F8E">
        <w:rPr>
          <w:rFonts w:ascii="Times New Roman Bold" w:hAnsi="Times New Roman Bold"/>
          <w:b/>
          <w:color w:val="000000"/>
          <w:spacing w:val="-6"/>
          <w:sz w:val="28"/>
          <w:szCs w:val="28"/>
        </w:rPr>
        <w:t>II. MỘT SỐ NỘI DUNG ĐỊNH HƯỚNG XÂY DỰNG NGHỊ ĐỊNH SỬA ĐỔI, BỔ SUNG MỘT SỐ ĐIỀU CỦA NGHỊ ĐỊNH SỐ 55/2011/NĐ-CP</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lastRenderedPageBreak/>
        <w:t xml:space="preserve">1. Về đối tượng áp dụng và nhiệm vụ của tổ chức pháp chế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1.1. Về đối tượng áp dụng</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Quy định hiện hành và thực tiễn về tổ chức pháp chế tại đơn vị sự nghiệp công lập</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Thực tiễn cho thấy, để đảm bảo việc thực hiện nhiệm vụ được giao theo đúng các quy định của pháp luật, tại một số cơ sở giáo dục đại học</w:t>
      </w:r>
      <w:r w:rsidRPr="00286701">
        <w:rPr>
          <w:rFonts w:ascii="Times New Roman" w:hAnsi="Times New Roman"/>
          <w:color w:val="000000"/>
          <w:sz w:val="28"/>
          <w:vertAlign w:val="superscript"/>
        </w:rPr>
        <w:footnoteReference w:id="1"/>
      </w:r>
      <w:r w:rsidRPr="00534E2C">
        <w:rPr>
          <w:rFonts w:ascii="Times New Roman" w:hAnsi="Times New Roman"/>
          <w:color w:val="000000"/>
          <w:sz w:val="28"/>
          <w:szCs w:val="28"/>
        </w:rPr>
        <w:t xml:space="preserve">, cơ sở đào tạo nghề đã thành lập tổ chức pháp chế hoặc bố trí người làm công tác pháp chế chuyên trách hoặc kiêm nhiệm. Tại các bệnh viện ở tuyến trung ương và cấp tỉnh đều đã bố trí cán bộ kiêm nhiệm làm công tác pháp chế. Tuy nhiên, cơ cấu tổ chức của tổ chức pháp chế tại các đơn vị sự nghiệp công lập chưa được quy định cụ thể trong Nghị định số 55/2011/NĐ-CP. Điều này dẫn đến khó khăn trong việc kiện toàn về bộ máy cũng như triển khai thực hiện nhiệm vụ của tổ chức pháp chế tại các đơn vị này.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 xml:space="preserve"> b) Hướng sửa đổi, bổ sung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Bổ sung tổ chức pháp chế tại các đơn vị sự nghiệp công lập vào đối tượng áp dụng của Nghị định; đồng thời, bổ sung quy định về vị trí, chức năng, nhiệm vụ của tổ chức pháp chế của các đơn vị này.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1.2. Về nhiệm vụ của tổ chức pháp chế</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Quy định hiện hành và thực tiễn thực hiện quy định về vị trí, chức năng, nhiệm vụ, quyền hạn của các tổ chức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Từ khi Nghị định số 55/2011/NĐ-CP được ban hành cho đến nay, hệ thống pháp luật nước ta đã có nhiều thay đổi, nhiều VBQPPL đã được sửa đổi, bổ sung hoặc ban hành mới để đáp ứng yêu cầu của thực tiễn phát triển đất nước. Theo đó, một số quy định về nhiệm vụ, quyền hạn của các tổ chức pháp chế  như xây dựng pháp luật, phổ biến, giáo dục pháp luật, kiểm tra, rà soát hệ thống hóa VBQPPL, bồi thường nhà nước… trong các VBQPPL chuyên ngành đã có sự thay đổi so với thời điểm Nghị định số 55/2011/NĐ-CP có hiệu lực. Bên cạnh đó, tổ chức pháp chế các bộ, ngành, địa phương cũng được giao thêm một số nhiệm vụ mới như hợp nhất VBQPPL theo quy định tại Pháp lệnh hợp nhất VBQPPL; theo dõi thi hành pháp luật về xử lý vi phạm hành chính theo quy định tại Luật Xử lý vi phạm hành chính và các văn bản quy định chi tiết thi hành </w:t>
      </w:r>
      <w:r w:rsidRPr="00534E2C">
        <w:rPr>
          <w:rFonts w:ascii="Times New Roman" w:hAnsi="Times New Roman"/>
          <w:color w:val="000000"/>
          <w:sz w:val="28"/>
          <w:szCs w:val="28"/>
        </w:rPr>
        <w:lastRenderedPageBreak/>
        <w:t>Luật. Như vậy, đến nay, một số quy định về nhiệm vụ, quyền hạn của các tổ chức pháp chế tại Nghị định số 55/2011/NĐ-CP không còn phù hợp, chưa điều chỉnh các nhiệm vụ mới được giao cho tổ chức pháp chế tại một số VBQPPL ban hành khác, do đó chưa đảm bảo tính thống nhất, đồng bộ với hệ thống pháp luật hiện hành.</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b) Hướng sửa đổi, bổ sung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Đối với tổ chức pháp chế bộ, ngành, địa phương: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Bổ sung nhiệm vụ về công tác hợp nhất VBQPPL của tổ chức pháp chế bộ, cơ quan ngang bộ</w:t>
      </w:r>
      <w:r w:rsidRPr="00286701">
        <w:rPr>
          <w:rFonts w:ascii="Times New Roman" w:hAnsi="Times New Roman"/>
          <w:color w:val="000000"/>
          <w:vertAlign w:val="superscript"/>
        </w:rPr>
        <w:footnoteReference w:id="2"/>
      </w:r>
      <w:r w:rsidRPr="00534E2C">
        <w:rPr>
          <w:rFonts w:ascii="Times New Roman" w:hAnsi="Times New Roman"/>
          <w:color w:val="000000"/>
          <w:sz w:val="28"/>
          <w:szCs w:val="28"/>
        </w:rPr>
        <w:t>; nhiệm vụ về quản lý công tác thi hành pháp luật về xử lý vi phạm hành chính của tổ chức pháp chế bộ, cơ quan ngang bộ</w:t>
      </w:r>
      <w:r w:rsidRPr="00286701">
        <w:rPr>
          <w:rFonts w:ascii="Times New Roman" w:hAnsi="Times New Roman"/>
          <w:color w:val="000000"/>
          <w:vertAlign w:val="superscript"/>
        </w:rPr>
        <w:footnoteReference w:id="3"/>
      </w:r>
      <w:r w:rsidRPr="00534E2C">
        <w:rPr>
          <w:rFonts w:ascii="Times New Roman" w:hAnsi="Times New Roman"/>
          <w:color w:val="000000"/>
          <w:sz w:val="28"/>
          <w:szCs w:val="28"/>
        </w:rPr>
        <w:t xml:space="preserve">; </w:t>
      </w:r>
    </w:p>
    <w:p w:rsidR="00DE30DC" w:rsidRPr="00286701" w:rsidRDefault="00DE30DC" w:rsidP="00534E2C">
      <w:pPr>
        <w:pStyle w:val="BodyText"/>
        <w:spacing w:before="240" w:line="340" w:lineRule="exact"/>
        <w:ind w:firstLine="567"/>
        <w:rPr>
          <w:rFonts w:ascii="Times New Roman" w:hAnsi="Times New Roman"/>
          <w:color w:val="000000"/>
          <w:sz w:val="28"/>
          <w:szCs w:val="28"/>
          <w:vertAlign w:val="superscript"/>
        </w:rPr>
      </w:pPr>
      <w:r w:rsidRPr="00534E2C">
        <w:rPr>
          <w:rFonts w:ascii="Times New Roman" w:hAnsi="Times New Roman"/>
          <w:color w:val="000000"/>
          <w:sz w:val="28"/>
          <w:szCs w:val="28"/>
        </w:rPr>
        <w:t>- Sửa đổi, bổ sung quy định về công tác xây dựng pháp luật</w:t>
      </w:r>
      <w:r w:rsidRPr="00286701">
        <w:rPr>
          <w:rFonts w:ascii="Times New Roman" w:hAnsi="Times New Roman"/>
          <w:color w:val="000000"/>
          <w:vertAlign w:val="superscript"/>
        </w:rPr>
        <w:footnoteReference w:id="4"/>
      </w:r>
      <w:r w:rsidRPr="00534E2C">
        <w:rPr>
          <w:rFonts w:ascii="Times New Roman" w:hAnsi="Times New Roman"/>
          <w:color w:val="000000"/>
          <w:sz w:val="28"/>
          <w:szCs w:val="28"/>
        </w:rPr>
        <w:t>; rà soát, hệ thống hóa VBQPPL</w:t>
      </w:r>
      <w:r w:rsidRPr="00286701">
        <w:rPr>
          <w:rFonts w:ascii="Times New Roman" w:hAnsi="Times New Roman"/>
          <w:color w:val="000000"/>
          <w:vertAlign w:val="superscript"/>
        </w:rPr>
        <w:footnoteReference w:id="5"/>
      </w:r>
      <w:r w:rsidRPr="00534E2C">
        <w:rPr>
          <w:rFonts w:ascii="Times New Roman" w:hAnsi="Times New Roman"/>
          <w:color w:val="000000"/>
          <w:sz w:val="28"/>
          <w:szCs w:val="28"/>
        </w:rPr>
        <w:t>, pháp điển hệ thống quy phạm pháp luật</w:t>
      </w:r>
      <w:r w:rsidRPr="00286701">
        <w:rPr>
          <w:rFonts w:ascii="Times New Roman" w:hAnsi="Times New Roman"/>
          <w:color w:val="000000"/>
          <w:vertAlign w:val="superscript"/>
        </w:rPr>
        <w:footnoteReference w:id="6"/>
      </w:r>
      <w:r w:rsidRPr="00534E2C">
        <w:rPr>
          <w:rFonts w:ascii="Times New Roman" w:hAnsi="Times New Roman"/>
          <w:color w:val="000000"/>
          <w:sz w:val="28"/>
          <w:szCs w:val="28"/>
        </w:rPr>
        <w:t>, phổ biến, giáo dục pháp luật</w:t>
      </w:r>
      <w:r w:rsidRPr="00286701">
        <w:rPr>
          <w:rFonts w:ascii="Times New Roman" w:hAnsi="Times New Roman"/>
          <w:color w:val="000000"/>
          <w:vertAlign w:val="superscript"/>
        </w:rPr>
        <w:footnoteReference w:id="7"/>
      </w:r>
      <w:r w:rsidR="00286701">
        <w:rPr>
          <w:rFonts w:ascii="Times New Roman" w:hAnsi="Times New Roman"/>
          <w:color w:val="000000"/>
          <w:sz w:val="28"/>
          <w:szCs w:val="28"/>
        </w:rPr>
        <w: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Bỏ quy định trách nhiệm của tổ chức pháp chế cơ quan thuộc Chính phủ, Tổng cục và tương đương, Cục thuộc bộ, cơ quan ngang bộ, cơ quan chuyên môn thuộc UBND cấp tỉnh trong việc thực hiện công tác bồi thường nhà nước do không có căn cứ pháp lý để quy định</w:t>
      </w:r>
      <w:r w:rsidRPr="00286701">
        <w:rPr>
          <w:rFonts w:ascii="Times New Roman" w:hAnsi="Times New Roman"/>
          <w:color w:val="000000"/>
          <w:vertAlign w:val="superscript"/>
        </w:rPr>
        <w:footnoteReference w:id="8"/>
      </w:r>
      <w:r w:rsidRPr="00534E2C">
        <w:rPr>
          <w:rFonts w:ascii="Times New Roman" w:hAnsi="Times New Roman"/>
          <w:color w:val="000000"/>
          <w:sz w:val="28"/>
          <w:szCs w:val="28"/>
        </w:rPr>
        <w: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Đối với doanh nghiệp nhà nước: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Sửa đổi một số nội dung phù hợp với nhiệm vụ, quyền hạn của pháp chế doanh nghiệp nhà nước, khái niệm người quản lý doanh nghiệp nhà nước cho </w:t>
      </w:r>
      <w:r w:rsidRPr="00534E2C">
        <w:rPr>
          <w:rFonts w:ascii="Times New Roman" w:hAnsi="Times New Roman"/>
          <w:color w:val="000000"/>
          <w:sz w:val="28"/>
          <w:szCs w:val="28"/>
        </w:rPr>
        <w:lastRenderedPageBreak/>
        <w:t>phù hợp với Luật Doanh nghiệp năm 2020</w:t>
      </w:r>
      <w:bookmarkStart w:id="0" w:name="_GoBack"/>
      <w:r w:rsidRPr="008F034A">
        <w:rPr>
          <w:rFonts w:ascii="Times New Roman" w:hAnsi="Times New Roman"/>
          <w:color w:val="000000"/>
          <w:vertAlign w:val="superscript"/>
        </w:rPr>
        <w:footnoteReference w:id="9"/>
      </w:r>
      <w:bookmarkEnd w:id="0"/>
      <w:r w:rsidRPr="00534E2C">
        <w:rPr>
          <w:rFonts w:ascii="Times New Roman" w:hAnsi="Times New Roman"/>
          <w:color w:val="000000"/>
          <w:sz w:val="28"/>
          <w:szCs w:val="28"/>
        </w:rPr>
        <w:t>. Theo đó, về cơ cấu, sắp xếp lại các nhiệm vụ, quyền hạn của tổ chức pháp chế ở doanh nghiệp nhà nước cho phù hợp với thực tiễn: (i) Bảo đảm tổ chức, hoạt động của doanh nghiệp phù hợp với quy định pháp luật, theo yêu cầu của cơ quan nhà nước có thẩm quyền (tham gia xây dựng, đề xuất, góp ý văn bản pháp luật; theo dõi, đôn đốc, kiểm tra việc thực hiện pháp luật; tổng kết, đánh giá pháp luật; phổ biến, giáo dục pháp luật); (ii) Hoạt động nội bộ của doanh nghiệp (xây dựng và tổ chức thi hành các văn bản nội bộ; soạn thảo, tư vấn về hợp đồng; tư vấn các lại như: xây dựng và tổ chức thi hành các văn bản nội bộ; soạn thảo, tư vấn về hợp đồng; tư vấn các vấn đề liên quan đến tổ chức, hoạt động của doanh nghiệp; tham gia giải quyết tranh chấp, tham gia tố tụng, thuê luật sư…).</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 Về tổ chức bộ máy của tổ chức pháp chế</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2.1. Tổ chức pháp chế ở các bộ, cơ quan ngang bộ</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Quy định hiện hành và thực tiễn triển khai</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Đến nay, hầu hết tất cả các bộ, cơ quan ngang bộ đều đã thành lập Vụ Pháp chế và tương đương; tuy nhiên cũng có Bộ như Bộ Công an thành lập Cục Pháp chế và cải cách hành chính, tư pháp. Tên gọi của tổ chức pháp chế ở một số bộ, cơ quan ngang bộ cũng còn có sự khác nhau như Văn phòng Chính phủ là Vụ Pháp luật; Bộ Ngoại giao là Vụ Luật pháp và Điều ước quốc tế; Bộ Công an là Cục Pháp chế và cải cách hành chính, tư pháp. Đây là vấn đề chưa đúng với quy định của Nghị định số 55/2011/NĐ-CP (khoản 1 Điều 8).</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b) Hướng sửa đổi</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Để sửa đổi cho phù hợp với yêu cầu của thực tiễn, Nghị định sửa đổi, bổ sung một số điều lần này theo hướng quy định các bộ, cơ quan ngang bộ có Vụ hoặc Cục Pháp chế.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Ưu điểm: Phù hợp với yêu cầu của thực tiễn tại các bộ, cơ quan ngang bộ.</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Nhược điểm: Không có sự thống nhất về tổ chức và tên gọi của tổ chức pháp chế tại các bộ, cơ quan ngang bộ.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2.2. Tổ chức pháp chế ở các cơ quan thuộc Chính phủ</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Quy định hiện hành và thực tiễn triển khai</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Theo quy định tại khoản 2 Điều 8 Nghị định số 55/2011/NĐ-CP, sau khi Nghị định được ban hành hầu hết các cơ quan thuộc Chính phủ đã thành lập tổ chức pháp chế độc lập. Tuy nhiên đến nay, do thực hiện Nghị quyết số 39-</w:t>
      </w:r>
      <w:r w:rsidRPr="00534E2C">
        <w:rPr>
          <w:rFonts w:ascii="Times New Roman" w:hAnsi="Times New Roman"/>
          <w:color w:val="000000"/>
          <w:sz w:val="28"/>
          <w:szCs w:val="28"/>
        </w:rPr>
        <w:lastRenderedPageBreak/>
        <w:t xml:space="preserve">NQ/TW ngày 17/4/2015 của Bộ Chính trị về tinh giản biên chế và cơ cấu lại đội ngũ cán bộ, công chức, viên chức, các Phòng, Ban Pháp chế này đã bị giải thể hoặc ghép với các bộ phận khác trực thuộc Văn phòng (Phòng Tổng hợp - Pháp chế của Thông tấn xã Việt Nam, Phòng Tổng hợp - Pháp chế của Viện Hàn lâm Khoa học và Công nghệ Việt Nam; Phòng Tổ chức hành chính và pháp chế của  Đài Truyền hình Việt Nam, Phòng Pháp chế và Trang tin điện tử của Ban Quản lý Lăng Chủ tịch Hồ Chí Minh), có nơi chỉ bố trí cán bộ chuyên trách (Đài Tiếng nói Việt Nam) hoặc cán bộ pháp chế kiêm nhiệm thuộc Phòng Tổng hợp- Hành chính trực thuộc Văn phòng (Viện Hàn lâm Khoa học Xã hội Việt Nam).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Đến nay chỉ còn 02 cơ quan có tổ chức pháp chế độc lập là Ủy ban Quản lý vốn của nhà nước thành lập Vụ Pháp chế và Kiểm soát nội bộ và Bảo hiểm xã hội Việt Nam thành lập Vụ Pháp chế.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b) Hướng sửa đổi</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Nghị định sửa đổi, bổ sung một số điều lần này theo hướng quy định cơ quan thuộc Chính phủ có tổ chức pháp chế độc lập (Vụ Pháp chế hoặc Ban Pháp chế/Phòng Pháp chế) hoặc ghép với bộ phận Văn phòng thành Văn phòng - Pháp chế.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Ưu điểm: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Phù hợp với thực tiễn tại các cơ quan thuộc Chính phủ, đảm bảo tính linh hoạt trong việc chọn mô hình tổ chức pháp chế trong điều kiện các cơ quan thuộc Chính phủ có tổ chức và hoạt động khác nhau, có đơn vị thực thiện theo mô hình như đơn vị sự nghiệp công lập, tự chủ kinh phí (Đài Truyền hình Việt Nam, Đài Tiếng nói Việt Nam) hoặc kinh phí toàn bộ là ngân sách nhà nước;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 Tạo được sự thống nhất với đề xuất về hệ thống tổ chức pháp chế các cơ quan chuyên môn thuộc UBND tỉnh có mô hình Văn phòng -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Nhược điểm: Không có sự thống nhất về tổ chức và tên gọi, chưa tạo sức mạnh của tổ chức pháp chế, do đó sẽ ảnh hưởng đến chất lượng và hiệu quả thực hiện các nhiệm vụ pháp chế tại các cơ quan này.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2.3. Tổ chức pháp chế ở các cơ quan chuyên môn thuộc UBND cấp tỉnh</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Quy định hiện hành và thực tiễn triển khai</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Theo quy định tại khoản 1 Điều 9 Nghị định số 55/2011/NĐ-CP thì 14 cơ quan chuyên môn thuộc UBND cấp tỉnh phải thành lập Phòng Pháp chế. Tuy nhiên, kết quả 10 năm thực hiện Nghị định số 55/2011/NĐ-CP cho thấy, trước khi Nghị định số 55/2011/NĐ-CP được ban hành, cả nước có 40 Phòng Pháp chế và có 70 Tổ công tác pháp chế tạm thời ở địa phương. Đến ngày 28/02/2015, </w:t>
      </w:r>
      <w:r w:rsidRPr="00534E2C">
        <w:rPr>
          <w:rFonts w:ascii="Times New Roman" w:hAnsi="Times New Roman"/>
          <w:color w:val="000000"/>
          <w:sz w:val="28"/>
          <w:szCs w:val="28"/>
        </w:rPr>
        <w:lastRenderedPageBreak/>
        <w:t>cả nước đã thành lập được 291 Phòng Pháp chế tại các cơ quan chuyên môn thuộc UBND cấp tỉnh, tăng 236 Phòng so với trước khi ban hành Nghị định số 55/2011/NĐ-CP (40 Phòng Pháp chế, 70 Tổ công tác pháp chế)</w:t>
      </w:r>
      <w:r w:rsidRPr="008F034A">
        <w:rPr>
          <w:rFonts w:ascii="Times New Roman" w:hAnsi="Times New Roman"/>
          <w:color w:val="000000"/>
          <w:sz w:val="28"/>
          <w:szCs w:val="28"/>
          <w:vertAlign w:val="superscript"/>
        </w:rPr>
        <w:footnoteReference w:id="10"/>
      </w:r>
      <w:r w:rsidRPr="00534E2C">
        <w:rPr>
          <w:rFonts w:ascii="Times New Roman" w:hAnsi="Times New Roman"/>
          <w:color w:val="000000"/>
          <w:sz w:val="28"/>
          <w:szCs w:val="28"/>
        </w:rPr>
        <w:t xml:space="preserve">.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Tuy nhiên, kể từ đầu năm 2015, khi các địa phương bắt đầu thực hiện các Thông tư, Thông tư liên tịch của các bộ, ngành quy định chức năng, nhiệm vụ, quyền hạn và cơ cấu tổ chức của cơ quan chuyên môn thuộc UBND cấp tỉnh về các lĩnh vực quản lý nhà nước của các bộ, ngành, việc củng cố, kiện toàn Phòng Pháp chế tại các cơ quan chuyên môn thuộc UBND tỉnh có nhiều biến động, dẫn đến tình trạng nhiều Phòng Pháp chế đã được thành lập trước kia nay đã bị giải thể hoặc ghép với phòng chuyên môn khác. Tính đến ngày 01/4/2021, cả nước chỉ còn 55 Phòng Pháp chế được thành lập</w:t>
      </w:r>
      <w:r w:rsidRPr="008F034A">
        <w:rPr>
          <w:rFonts w:ascii="Times New Roman" w:hAnsi="Times New Roman"/>
          <w:color w:val="000000"/>
          <w:vertAlign w:val="superscript"/>
        </w:rPr>
        <w:footnoteReference w:id="11"/>
      </w:r>
      <w:r w:rsidRPr="00534E2C">
        <w:rPr>
          <w:rFonts w:ascii="Times New Roman" w:hAnsi="Times New Roman"/>
          <w:color w:val="000000"/>
          <w:sz w:val="28"/>
          <w:szCs w:val="28"/>
        </w:rPr>
        <w:t>, giảm 236 Phòng so với năm 2015.</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Có nhiều nguyên nhân dẫn đến thực trạng này, song nguyên nhân quan trọng nhất đó là khó khăn về bố trí biên chế làm công tác pháp chế ở các địa phương, nhất là trong bối cảnh thực hiện chủ trương của Đảng về tinh giản biên chế, tinh gọn bộ máy theo yêu cầu của Nghị quyết số 39-NQ/TW ngày 17/4/2015 của Bộ Chính trị về tinh gọn biên chế và cơ cấu lại đội ngũ cán bộ, công chức, viên chức; Nghị quyết số 18-NQ/TW ngày 25/10/2017 của Hội nghị lần thứ sáu Ban Chấp hành Trung ương Đảng khóa XII về một số vấn đề về tiếp tục đổi mới, sắp xếp tổ chức bộ máy của hệ thống chính trị tinh gọn, hoạt động hiệu lực, hiệu quả. Bên cạnh đó, xuất phát từ nhu cầu của công tác pháp chế, nhận thức của lãnh đạo một số địa phương còn rất khác nhau về vấn đề này.</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Trước tình hình như trên, mặc dù Bộ Tư pháp đã kiến nghị, tham mưu cho Đảng, Chính phủ, Thủ tướng Chính phủ với nhiều giải pháp để tháo gỡ khó khăn, vướng mắc. Cụ thể đã ban hành nhiều văn bản chỉ đạo có liên quan đến công tác pháp chế như:</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Tại điểm 2.3 mục 2 Kết luận số 83-KL/TW ngày 29/7/2020 của Bộ Chính trị về việc tổng kết thực hiện Nghị quyết số 48-NQ/TW của Bộ Chính trị về Chiến lược xây dựng và hoàn thiện hệ thống pháp luật Việt Nam đến năm 2010, định hướng đến năm 2020 quy định “Củng cố, kiện toàn tổ chức pháp chế, tổ chức làm công tác pháp luật, nâng cao năng lực, trình độ, bản lĩnh chính trị của đội ngũ cán bộ, công chức làm công tác pháp luật ở các bộ, ngành, địa phương và doanh nghiệp;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Quyết định số 04/QĐ-TTg ngày 07/01/2021 của Thủ tướng Chính phủ về việc ban hành Kế hoạch thực hiện Kết luận số 83-KL/TW ngày 29/7/2020 của </w:t>
      </w:r>
      <w:r w:rsidRPr="00534E2C">
        <w:rPr>
          <w:rFonts w:ascii="Times New Roman" w:hAnsi="Times New Roman"/>
          <w:color w:val="000000"/>
          <w:sz w:val="28"/>
          <w:szCs w:val="28"/>
        </w:rPr>
        <w:lastRenderedPageBreak/>
        <w:t>Bộ Chính trị về việc tổng kết thực hiện Nghị quyết số 48-NQ/TW của Bộ Chính trị về Chiến lược xây dựng và hoàn thiện hệ thống pháp luật Việt Nam đến năm 2010, định hướng đến năm 2020, Thủ tướng Chính phủ giao trách nhiệm “Bộ Nội vụ chủ trì, phối hợp với các bộ, cơ quan ngang bộ, cơ quan thuộc Chính phủ, Ủy ban nhân dân các tỉnh, thành phố trực thuộc Trung ương củng cố, kiện toàn tổ chức pháp chế, tổ chức làm công tác pháp luật. Đối với các địa phương, tiếp tục duy trì Phòng Pháp chế đã được thành lập tại các cơ quan chuyên môn thuộc Ủy ban nhân dân cấp tỉnh; bố trí công chức làm công tác pháp chế chuyên trách tại các Sở, ngành khác. Nâng cao năng lực, trình độ, bản lĩnh chính trị của đội ngũ cán bộ, công chức làm công tác pháp luật”;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Mục 7 phần II Chỉ thị số 43/CT-TTg ngày 11/12/2020 của Thủ tướng Chính phủ về nâng cao chất lượng công tác xây dựng, hoàn thiện hệ thống pháp luật và tăng cường hiệu quả thi hành pháp luật, Thủ tướng Chính phủ giao Bộ trưởng Bộ Nội vụ “Phối hợp chặt chẽ với Bộ Tư pháp tiếp tục nghiên cứu, củng cố kiện toàn, đổi mới về tổ chức, bộ máy, biên chế người làm công tác xây dựng pháp luật, pháp chế, đáp ứng yêu cầu công việc, nhiệm vụ được giao”.</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Thực tế đến nay cho thấy, tổ chức pháp chế ở địa phương không được kiện toàn, đổi mới mà ngày càng bị giảm về số lượng và chất lượng của công tác này.</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b) Hướng sửa đổi, bổ sung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Nghị định sửa đổi, bổ sung một số điều lần này theo hướng như sau: </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 xml:space="preserve">Phương án 1: </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Căn cứ vào yêu cầu quản lý nhà nước về ngành, lĩnh vực ở địa phương</w:t>
      </w:r>
      <w:r w:rsidR="0074292C" w:rsidRPr="00534E2C">
        <w:rPr>
          <w:rFonts w:ascii="Times New Roman" w:hAnsi="Times New Roman"/>
          <w:color w:val="000000"/>
          <w:sz w:val="28"/>
          <w:szCs w:val="28"/>
        </w:rPr>
        <w:t>,</w:t>
      </w:r>
      <w:r w:rsidRPr="00534E2C">
        <w:rPr>
          <w:rFonts w:ascii="Times New Roman" w:hAnsi="Times New Roman"/>
          <w:color w:val="000000"/>
          <w:sz w:val="28"/>
          <w:szCs w:val="28"/>
        </w:rPr>
        <w:t xml:space="preserve"> Ủy ban nhân dân cấp tỉnh quyết định việc thành lập Phòng Pháp chế hoặc quyết định việc bố trí công chức pháp chế chuyên trách ở các cơ quan chuyên môn. Các </w:t>
      </w:r>
      <w:r w:rsidR="00A03946" w:rsidRPr="00534E2C">
        <w:rPr>
          <w:rFonts w:ascii="Times New Roman" w:hAnsi="Times New Roman"/>
          <w:color w:val="000000"/>
          <w:sz w:val="28"/>
          <w:szCs w:val="28"/>
        </w:rPr>
        <w:t>P</w:t>
      </w:r>
      <w:r w:rsidRPr="00534E2C">
        <w:rPr>
          <w:rFonts w:ascii="Times New Roman" w:hAnsi="Times New Roman"/>
          <w:color w:val="000000"/>
          <w:sz w:val="28"/>
          <w:szCs w:val="28"/>
        </w:rPr>
        <w:t xml:space="preserve">hòng Pháp chế đã thành lập tiếp tục </w:t>
      </w:r>
      <w:r w:rsidR="0074292C" w:rsidRPr="00534E2C">
        <w:rPr>
          <w:rFonts w:ascii="Times New Roman" w:hAnsi="Times New Roman"/>
          <w:color w:val="000000"/>
          <w:sz w:val="28"/>
          <w:szCs w:val="28"/>
        </w:rPr>
        <w:t xml:space="preserve">được </w:t>
      </w:r>
      <w:r w:rsidRPr="00534E2C">
        <w:rPr>
          <w:rFonts w:ascii="Times New Roman" w:hAnsi="Times New Roman"/>
          <w:color w:val="000000"/>
          <w:sz w:val="28"/>
          <w:szCs w:val="28"/>
        </w:rPr>
        <w:t xml:space="preserve">duy trì. </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Ưu điểm:</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Duy trì mạng lưới người làm công tác pháp chế ổn định ở các cơ quan chuyên môn thuộc UBND cấp tỉnh;</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Không hình hành tổ chức pháp chế mới;</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Thực hiện theo tinh thần giao tự chủ cho địa phương quyết định về cơ cấu tổ chức của các Sở phù hợp với yêu cầu quản lý nhà nước về ngành, lĩnh vực ở địa phương được quy định tại Luật Chính quyền địa phương và Nghị định số 107/2020/NĐ-CP sửa đổi, bổ sung Nghị định số 24/201/NĐ-CP quy định về tổ chức, bộ máy các cơ quan chuyên môn thuộc UBND cấp tỉnh.  </w:t>
      </w:r>
    </w:p>
    <w:p w:rsidR="00AA58B3" w:rsidRPr="00534E2C" w:rsidRDefault="00AA58B3"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lastRenderedPageBreak/>
        <w:t xml:space="preserve">- Nhược điểm: </w:t>
      </w:r>
    </w:p>
    <w:p w:rsidR="0074292C" w:rsidRPr="00534E2C" w:rsidRDefault="0074292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Quy định mang tính tùy nghi, Phòng Pháp chế khó được thành lập theo quy định như tại khoản 1, Điều 9, Nghị định số 55/2011/NĐ-CP. </w:t>
      </w:r>
    </w:p>
    <w:p w:rsidR="00AA58B3" w:rsidRPr="00751F8E" w:rsidRDefault="00AA58B3"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 xml:space="preserve"> Phương án 2: </w:t>
      </w:r>
    </w:p>
    <w:p w:rsidR="00AA58B3" w:rsidRPr="00534E2C" w:rsidRDefault="0074292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w:t>
      </w:r>
      <w:r w:rsidR="00AA58B3" w:rsidRPr="00534E2C">
        <w:rPr>
          <w:rFonts w:ascii="Times New Roman" w:hAnsi="Times New Roman"/>
          <w:color w:val="000000"/>
          <w:sz w:val="28"/>
          <w:szCs w:val="28"/>
        </w:rPr>
        <w:t xml:space="preserve">ổ chức pháp chế </w:t>
      </w:r>
      <w:r w:rsidRPr="00534E2C">
        <w:rPr>
          <w:rFonts w:ascii="Times New Roman" w:hAnsi="Times New Roman"/>
          <w:color w:val="000000"/>
          <w:sz w:val="28"/>
          <w:szCs w:val="28"/>
        </w:rPr>
        <w:t xml:space="preserve">được ghép </w:t>
      </w:r>
      <w:r w:rsidR="00AA58B3" w:rsidRPr="00534E2C">
        <w:rPr>
          <w:rFonts w:ascii="Times New Roman" w:hAnsi="Times New Roman"/>
          <w:color w:val="000000"/>
          <w:sz w:val="28"/>
          <w:szCs w:val="28"/>
        </w:rPr>
        <w:t>vào Phòng chuyên môn tại các Sở: Công Thương, Tài nguyên và Môi trường</w:t>
      </w:r>
      <w:r w:rsidRPr="00534E2C">
        <w:rPr>
          <w:rFonts w:ascii="Times New Roman" w:hAnsi="Times New Roman"/>
          <w:color w:val="000000"/>
          <w:sz w:val="28"/>
          <w:szCs w:val="28"/>
        </w:rPr>
        <w:t>,</w:t>
      </w:r>
      <w:r w:rsidR="00AA58B3" w:rsidRPr="00534E2C">
        <w:rPr>
          <w:rFonts w:ascii="Times New Roman" w:hAnsi="Times New Roman"/>
          <w:color w:val="000000"/>
          <w:sz w:val="28"/>
          <w:szCs w:val="28"/>
        </w:rPr>
        <w:t xml:space="preserve"> Nông nghiệp và Phát triển nông thôn</w:t>
      </w:r>
      <w:r w:rsidRPr="00534E2C">
        <w:rPr>
          <w:rFonts w:ascii="Times New Roman" w:hAnsi="Times New Roman"/>
          <w:color w:val="000000"/>
          <w:sz w:val="28"/>
          <w:szCs w:val="28"/>
        </w:rPr>
        <w:t>,</w:t>
      </w:r>
      <w:r w:rsidR="00AA58B3" w:rsidRPr="00534E2C">
        <w:rPr>
          <w:rFonts w:ascii="Times New Roman" w:hAnsi="Times New Roman"/>
          <w:color w:val="000000"/>
          <w:sz w:val="28"/>
          <w:szCs w:val="28"/>
        </w:rPr>
        <w:t xml:space="preserve"> </w:t>
      </w:r>
      <w:r w:rsidRPr="00534E2C">
        <w:rPr>
          <w:rFonts w:ascii="Times New Roman" w:hAnsi="Times New Roman"/>
          <w:color w:val="000000"/>
          <w:sz w:val="28"/>
          <w:szCs w:val="28"/>
        </w:rPr>
        <w:t>Lao động, Thương binh và Xã hội; lấy tên Phòng chuyên môn - Pháp chế. Các phòng Pháp chế đã thành lập tiếp tục được duy trì.</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Ưu điểm: </w:t>
      </w:r>
    </w:p>
    <w:p w:rsidR="00DE30DC" w:rsidRPr="00534E2C" w:rsidRDefault="0074292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w:t>
      </w:r>
      <w:r w:rsidR="00DE30DC" w:rsidRPr="00534E2C">
        <w:rPr>
          <w:rFonts w:ascii="Times New Roman" w:hAnsi="Times New Roman"/>
          <w:color w:val="000000"/>
          <w:sz w:val="28"/>
          <w:szCs w:val="28"/>
        </w:rPr>
        <w:t xml:space="preserve"> Việc quy định thành lập Phòng Pháp chế ghép với các phòng chuyên môn khác bảo đảm tính linh hoạt, việc sắp xếp tổ chức các tổ chức pháp chế phù hợp với tình hình thực tiễn tại các địa phương, đồng thời thực hiện đúng chỉ đạo của Bộ Chính trị về việc củng cố, kiện toàn tổ chức pháp chế tại Kết luận số 83-KL/TW ngày 29/7/2020 của Bộ Chính trị về việc tổng kết thực hiện Nghị quyết số 48-NQ/TW của Bộ Chính trị về Chiến lược xây dựng và hoàn thiện hệ thống pháp luật Việt Nam đến năm 2010, định hướng đến năm 2020 và chỉ đạo của Thủ tướng Chính phủ tại Chỉ thị số 43/CT-TTg ngày 11/12/2020 của Thủ tướng Chính phủ về nâng cao chất lượng công tác xây dựng, hoàn thiện hệ thống pháp luật và tăng cường hiệu quả thi hành pháp luật;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Không làm tăng biên chế: Người làm công tác pháp chế được bố trí trên cơ sở điều chuyển những cán bộ pháp chế đang làm nhiệm vụ chuyên trách và kiêm nhiệm trước đó;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Tạo sự chủ động trong việc sử dụng công chức phục vụ các yêu cầu, nhiệm vụ của đơn vị, nâng cao hiệu quả sử dụng công chức và hiệu lực, hiệu quả quản lý nhà nước</w:t>
      </w:r>
      <w:r w:rsidR="00C152B6" w:rsidRPr="00534E2C">
        <w:rPr>
          <w:rFonts w:ascii="Times New Roman" w:hAnsi="Times New Roman"/>
          <w:color w:val="000000"/>
          <w:sz w:val="28"/>
          <w:szCs w:val="28"/>
        </w:rPr>
        <w:t>;</w:t>
      </w:r>
      <w:r w:rsidRPr="00534E2C">
        <w:rPr>
          <w:rFonts w:ascii="Times New Roman" w:hAnsi="Times New Roman"/>
          <w:color w:val="000000"/>
          <w:sz w:val="28"/>
          <w:szCs w:val="28"/>
        </w:rPr>
        <w:t xml:space="preserve">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Tạo thành hệ thống tổ chức pháp chế ở các cơ quan chuyên môn </w:t>
      </w:r>
      <w:r w:rsidR="0074292C" w:rsidRPr="00534E2C">
        <w:rPr>
          <w:rFonts w:ascii="Times New Roman" w:hAnsi="Times New Roman"/>
          <w:color w:val="000000"/>
          <w:sz w:val="28"/>
          <w:szCs w:val="28"/>
        </w:rPr>
        <w:t xml:space="preserve">quản lý </w:t>
      </w:r>
      <w:r w:rsidR="00C152B6" w:rsidRPr="00534E2C">
        <w:rPr>
          <w:rFonts w:ascii="Times New Roman" w:hAnsi="Times New Roman"/>
          <w:color w:val="000000"/>
          <w:sz w:val="28"/>
          <w:szCs w:val="28"/>
        </w:rPr>
        <w:t xml:space="preserve">nhà nước </w:t>
      </w:r>
      <w:r w:rsidR="0074292C" w:rsidRPr="00534E2C">
        <w:rPr>
          <w:rFonts w:ascii="Times New Roman" w:hAnsi="Times New Roman"/>
          <w:color w:val="000000"/>
          <w:sz w:val="28"/>
          <w:szCs w:val="28"/>
        </w:rPr>
        <w:t xml:space="preserve">nhiều ngành, lĩnh vực </w:t>
      </w:r>
      <w:r w:rsidRPr="00534E2C">
        <w:rPr>
          <w:rFonts w:ascii="Times New Roman" w:hAnsi="Times New Roman"/>
          <w:color w:val="000000"/>
          <w:sz w:val="28"/>
          <w:szCs w:val="28"/>
        </w:rPr>
        <w:t>thuộc UBND cấp tỉnh</w:t>
      </w:r>
      <w:r w:rsidR="00C152B6" w:rsidRPr="00534E2C">
        <w:rPr>
          <w:rFonts w:ascii="Times New Roman" w:hAnsi="Times New Roman"/>
          <w:color w:val="000000"/>
          <w:sz w:val="28"/>
          <w:szCs w:val="28"/>
        </w:rPr>
        <w:t>; giúp cho Thủ trưởng đơn vị hoàn thành tốt nhiệm vụ được giao</w:t>
      </w:r>
      <w:r w:rsidRPr="00534E2C">
        <w:rPr>
          <w:rFonts w:ascii="Times New Roman" w:hAnsi="Times New Roman"/>
          <w:color w:val="000000"/>
          <w:sz w:val="28"/>
          <w:szCs w:val="28"/>
        </w:rPr>
        <w:t xml:space="preserve">.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Nhược điểm: </w:t>
      </w:r>
    </w:p>
    <w:p w:rsidR="0074292C" w:rsidRPr="00534E2C" w:rsidRDefault="0074292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Chưa tạo được sự chủ động cho chính quyền ở địa phương. </w:t>
      </w:r>
    </w:p>
    <w:p w:rsidR="00DE30DC" w:rsidRPr="00751F8E" w:rsidDel="00595DBA"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2.4. Tổ chức pháp chế tại các đơn vị sự nghiệp công lập</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Để đáp ứng được yêu cầu của thực tiễn, Nghị định sửa đổi, bổ sung một số điều lần này quy định theo hướng linh hoạt việc thành lập tổ chức pháp chế </w:t>
      </w:r>
      <w:r w:rsidRPr="00534E2C">
        <w:rPr>
          <w:rFonts w:ascii="Times New Roman" w:hAnsi="Times New Roman"/>
          <w:color w:val="000000"/>
          <w:sz w:val="28"/>
          <w:szCs w:val="28"/>
        </w:rPr>
        <w:lastRenderedPageBreak/>
        <w:t xml:space="preserve">trong đơn vị sự nghiệp công lập. Theo đó, căn cứ vào nhu cầu công tác pháp chế, Thủ trưởng đơn vị thành lập tổ chức pháp chế hoặc quyết định việc bố trí viên chức pháp chế chuyên trách.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Ưu điểm: Trao quyền chủ động cho các đơn vị sự nghiệp công lập trong việc bố trí, sắp xếp về tổ chức, biên chế cho việc thực hiện công tác pháp chế phù hợp với nhu cầu của đơn vị.</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Nhược điểm: Không tạo được sự thống nhất và hệ thống về tổ chức pháp chế tại các đơn vị sự nghiệp công lập.</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3. Tiêu chuẩn người làm công tác pháp chế và điều kiện bổ nhiệm người đứng đầu tổ chức pháp chế</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3.1. Quy định hiện hành và thực tiễn thực hiện</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Theo quy định tại Điều 12 Nghị định số 55/2011/NĐ-CP, người làm công tác pháp chế, người đứng đầu tổ chức pháp chế phải có trình độ cử nhân Luật trở lên. Thực tế cho thấy, tiêu chuẩn nêu trên là khó triển khai thực hiện, nhất là ở các địa phương.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Theo thống kê hiện nay, cả nước còn khoảng 2788/8859 người (chiếm tỷ lệ 31.47%) người làm công tác pháp chế của bộ, cơ quan ngang bộ và địa phương và doanh nghiệp nhà nước chưa có trình độ cử nhân Luật. Tại một số bộ, ngành và một số cơ quan chuyên môn thuộc UBND cấp tỉnh (một số cơ quan có tính chất chuyên ngành như y tế, tài chính, công thương, giao thông vận tải...). việc tuyển dụng người làm công tác pháp chế, bổ nhiệm người đứng đầu tổ chức pháp chế còn gặp nhiều khó khăn, bất cập do quy định nêu trên, nhất là tại các cơ quan chuyên môn thuộc UBND cấp tỉnh và các doanh nghiệp nhà nước.</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Đối với tiêu chuẩn, điều kiện bổ nhiệm người đứng đầu tổ chức pháp chế (điểm b khoản 1 Điều 12) quy định là phải có ít nhất 05 năm trực tiếp làm công tác pháp luật. Tuy nhiên, cách quy định này là chưa rõ ràng, cụ thể, do đó quá trình thực hiện còn gặp không ít khó khăn, chằng hạn như thời gian tính 05 năm là cộng dồn hay là 05 năm liên tục.</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3.2. Hướng sửa đổi</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a) Đối với tiêu chuẩn người làm công tác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Nghị định sửa đổi, bổ sung một số điều lần này quy định linh hoạt theo hướng sau 05 năm được tuyển dụng hoặc bố trí, điều chuyển thì người làm công tác pháp chế phải có trình độ cử nhân luật.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lastRenderedPageBreak/>
        <w:t>+ Ưu điểm: Đáp ứng được yêu cầu của thực tiễn, tạo sự linh hoạt cho các cơ quan, tổ chức trong việc tuyển dụng hoặc điều chuyển, bố trí người làm công tác pháp chế trong tổng số biên chế được giao.</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 Nhược điểm: Chưa bài bản; chất lượng, trình độ của người làm công tác pháp chế chưa được đảm bảo ngay từ khâu tuyển dụng; tốn kém thời gian, kinh phí để đào tạo, bồi dưỡng đại học Luật văn bằng 2.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751F8E">
        <w:rPr>
          <w:rFonts w:ascii="Times New Roman" w:hAnsi="Times New Roman"/>
          <w:b/>
          <w:color w:val="000000"/>
          <w:sz w:val="28"/>
          <w:szCs w:val="28"/>
        </w:rPr>
        <w:t>b) Đối với điều kiện bổ nhiệm người đứng đầu tổ chức pháp chế:</w:t>
      </w:r>
      <w:r w:rsidRPr="00534E2C">
        <w:rPr>
          <w:rFonts w:ascii="Times New Roman" w:hAnsi="Times New Roman"/>
          <w:color w:val="000000"/>
          <w:sz w:val="28"/>
          <w:szCs w:val="28"/>
        </w:rPr>
        <w:t xml:space="preserve"> Sửa đổi quy định số năm trực tiếp làm công tác pháp luật theo hướng cách tính cộng dồn tổng thời gian trực tiếp làm công tác pháp luật là ba năm cho đến thời điểm được bổ nhiệm.</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4. Chế độ cho người làm công tác pháp chế</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4.1. Quy định hiện hành và thực tiễn thực hiện</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Theo quy định tại khoản 2 Điều 12 Nghị định số 55/2011/NĐ-CP thì người làm công tác pháp chế được hưởng phụ cấp ưu đãi theo nghề. Bộ Tư pháp có trách nhiệm chủ trì, phối hợp với Bộ Nội vụ, Bộ Tài chính xây dựng, trình Thủ tướng Chính phủ ban hành Quyết định về chế độ ưu đãi nghề đối với cán bộ làm công tác pháp chế.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Sau khi Nghị định số 55/2011/NĐ-CP được ban hành, Bộ Tư pháp đã chủ trì, phối hợp triển khai. Tuy nhiên, trong quá trình triển khai thực hiện, Ban Chấp hành Trung ương Đảng khóa XI đã ban hành Kết luận số 63-KL/TW ngày 27/5/2013 về cải cách chính sách tiền lương, bảo hiểm xã hội, trợ cấp ưu đãi người có công và định hướng cải cách đến năm 2020 và để thực hiện Kết luận này, Chính phủ chỉ đạo việc nghiên cứu về chế độ phụ cấp, trong đó có chế độ phụ cấp ưu đãi theo nghề sẽ được xử lý trong Đề án cải cách tiền lương đối với cán bộ, công chức, viên chức, lực lượng vũ trang và người lao động trong các doanh nghiệp. Do vậy, cho đến nay, sau 10 năm triển khai thi hành Nghị định số 55/2011/NĐ-CP, quy định về chế độ phụ cấp ưu đãi theo nghề cho người làm công tác pháp chế là không thực hiện được.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Tuy nhiên, trong thời gian vừa qua, với sự quan tâm của Đảng, nhà nước đối với công tác pháp chế, xây dựng pháp luật, Chính phủ, Bộ chính trị đã có sự chỉ đạo sát sao đối với công tác này, cụ thể, tại  Kết luận số .....của Thủ tướng Chính phủ tại Hội nghị về công tác xây dựng và hoàn thiện thể chế có nêu” “; Kết luận số 19-KL/TW ngày 14/10/2021 của Bộ Chính trị về định hướng Chương trình xây dựng pháp luật nhiệm kỳ Quốc hội khóa XV chỉ rõ “...Có cơ chế thích hợp bảo đảm và tăng cường nguồn lực đầu tư, đổi mới cơ chế phân bổ, sử dụng hiệu quả kinh phí xây dựng và thi hành pháp luật”</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lastRenderedPageBreak/>
        <w:t>So với những ngành nghề, lĩnh vực khác như  kho bạc, chứng khoán, ngân hàng … do có chế độ, chính sách đãi ngộ phù hợp nên đã thu hút được số lượng lớn những người có trình độ, chuyên môn cao tới làm việc. Thực tế hiện nay cho thấy, cán bộ, công chức là đầu mối kiểm soát thủ tục hành chính (thuộc Vụ Pháp chế; Vụ, Cục thuộc bộ, cơ quan ngang bộ; cán bộ, công chức là đầu mối kiểm soát thủ tục hành chính tại các Sở, huyện, xã ở địa phương) đã được hưởng chế độ hỗ trợ theo Thông tư số 167/2012/TT-BTC ngày 10/10/2012 của Bộ Tài chính quy định việc lập dự toán, quản lý và sử dụng kinh phí thực hiện các hoạt động kiểm soát thủ tục hành chính. Theo đó, cán bộ, công chức là đầu mối kiểm soát TTHC tại Vụ, Cục, Tổng cục thuộc bộ được hỗ trợ 30.000đ/người/ngày.</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4.2. Hướng sửa đổi, bổ sung</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Đối với chế độ phụ cấp ưu đãi theo nghề người làm công tác pháp chế: Bỏ quy định này.</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Đề xuất xây dựng chế độ chi hỗ trợ cho người làm công tác pháp chế, theo đó, đề xuất người làm công tác pháp chế tại các bộ, cơ quan ngang bộ, cơ quan thuộc Chính phủ được hưởng mức chi hỗ trợ là 70.000đ/người/ngày; người làm công tác pháp chế ở các cơ quan chuyên môn thuộc UBND cấp tỉnh được hưởng mức chi hỗ trợ là 50.000đ/người/ngày nhằm khuyến khích, động viên người làm công tác pháp chế, thu hút nhân lực chất lượng cao cho công tác pháp chế</w:t>
      </w:r>
      <w:r w:rsidRPr="00534E2C">
        <w:rPr>
          <w:rFonts w:ascii="Times New Roman" w:hAnsi="Times New Roman"/>
          <w:color w:val="000000"/>
        </w:rPr>
        <w:footnoteReference w:id="12"/>
      </w:r>
      <w:r w:rsidRPr="00534E2C">
        <w:rPr>
          <w:rFonts w:ascii="Times New Roman" w:hAnsi="Times New Roman"/>
          <w:color w:val="000000"/>
          <w:sz w:val="28"/>
          <w:szCs w:val="28"/>
        </w:rPr>
        <w:t xml:space="preserve">.  </w:t>
      </w:r>
    </w:p>
    <w:p w:rsidR="00DE30DC" w:rsidRPr="009877F4" w:rsidRDefault="00DE30DC" w:rsidP="00534E2C">
      <w:pPr>
        <w:pStyle w:val="BodyText"/>
        <w:spacing w:before="240" w:line="340" w:lineRule="exact"/>
        <w:ind w:firstLine="567"/>
        <w:rPr>
          <w:rFonts w:ascii="Times New Roman" w:hAnsi="Times New Roman"/>
          <w:b/>
          <w:color w:val="000000"/>
          <w:sz w:val="28"/>
          <w:szCs w:val="28"/>
        </w:rPr>
      </w:pPr>
      <w:r w:rsidRPr="009877F4">
        <w:rPr>
          <w:rFonts w:ascii="Times New Roman" w:hAnsi="Times New Roman"/>
          <w:b/>
          <w:color w:val="000000"/>
          <w:sz w:val="28"/>
          <w:szCs w:val="28"/>
        </w:rPr>
        <w:t>5. Một số nội dung khác</w:t>
      </w:r>
    </w:p>
    <w:p w:rsidR="00DE30DC" w:rsidRPr="009877F4" w:rsidRDefault="00DE30DC" w:rsidP="00534E2C">
      <w:pPr>
        <w:pStyle w:val="BodyText"/>
        <w:spacing w:before="240" w:line="340" w:lineRule="exact"/>
        <w:ind w:firstLine="567"/>
        <w:rPr>
          <w:rFonts w:ascii="Times New Roman" w:hAnsi="Times New Roman"/>
          <w:b/>
          <w:color w:val="000000"/>
          <w:sz w:val="28"/>
          <w:szCs w:val="28"/>
        </w:rPr>
      </w:pPr>
      <w:r w:rsidRPr="009877F4">
        <w:rPr>
          <w:rFonts w:ascii="Times New Roman" w:hAnsi="Times New Roman"/>
          <w:b/>
          <w:color w:val="000000"/>
          <w:sz w:val="28"/>
          <w:szCs w:val="28"/>
        </w:rPr>
        <w:t>5.1. Về bổ nhiệm người đứng đầu tổ chức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 xml:space="preserve">Để tăng cường vai trò của Bộ Tư pháp, Sở Tư pháp trong việc quản lý nhà nước về công tác pháp chế và bảo đảm thực thi quy định về tiêu chuẩn người đứng đầu tổ chức pháp chế, cần nghiên cứu cân nhắc để bổ sung quy định về việc lấy ý kiến Bộ Tư pháp trước khi bổ nhiệm người đứng đầu tổ chức pháp chế đối với tổ chức pháp chế các bộ, cơ quan ngang bộ, cơ quan thuộc Chính phủ, doanh nghiệp nhà nước ở Trung ương; lấy ý kiến Sở Tư pháp đối với tổ chức pháp chế tại các cơ quan chuyên môn thuộc UBND cấp tỉnh, doanh nghiệp nhà nước ở địa phương (việc lấy ý kiến của Bộ Tư pháp trước khi bổ nhiệm người đứng đầu pháp chế ở các đơn vị nêu trên theo mô hình bổ nhiệm lãnh đạo Thanh </w:t>
      </w:r>
      <w:r w:rsidRPr="00534E2C">
        <w:rPr>
          <w:rFonts w:ascii="Times New Roman" w:hAnsi="Times New Roman"/>
          <w:color w:val="000000"/>
          <w:sz w:val="28"/>
          <w:szCs w:val="28"/>
        </w:rPr>
        <w:lastRenderedPageBreak/>
        <w:t>tra các bộ và các Sở phải xin ý kiến của Thanh tra Chính phủ</w:t>
      </w:r>
      <w:r w:rsidRPr="00534E2C">
        <w:rPr>
          <w:rFonts w:ascii="Times New Roman" w:hAnsi="Times New Roman"/>
          <w:color w:val="000000"/>
        </w:rPr>
        <w:footnoteReference w:id="13"/>
      </w:r>
      <w:r w:rsidRPr="00534E2C">
        <w:rPr>
          <w:rFonts w:ascii="Times New Roman" w:hAnsi="Times New Roman"/>
          <w:color w:val="000000"/>
          <w:sz w:val="28"/>
          <w:szCs w:val="28"/>
        </w:rPr>
        <w:t xml:space="preserve"> và Thanh tra tỉnh và một số chức danh khác như bổ nhiệm lãnh đạo Nhà xuất bản</w:t>
      </w:r>
      <w:r w:rsidRPr="00534E2C">
        <w:rPr>
          <w:rFonts w:ascii="Times New Roman" w:hAnsi="Times New Roman"/>
          <w:color w:val="000000"/>
        </w:rPr>
        <w:footnoteReference w:id="14"/>
      </w:r>
      <w:r w:rsidRPr="00534E2C">
        <w:rPr>
          <w:rFonts w:ascii="Times New Roman" w:hAnsi="Times New Roman"/>
          <w:color w:val="000000"/>
          <w:sz w:val="28"/>
          <w:szCs w:val="28"/>
        </w:rPr>
        <w:t>, Báo, Tạp chí</w:t>
      </w:r>
      <w:r w:rsidRPr="00534E2C">
        <w:rPr>
          <w:rFonts w:ascii="Times New Roman" w:hAnsi="Times New Roman"/>
          <w:color w:val="000000"/>
        </w:rPr>
        <w:footnoteReference w:id="15"/>
      </w:r>
      <w:r w:rsidRPr="00534E2C">
        <w:rPr>
          <w:rFonts w:ascii="Times New Roman" w:hAnsi="Times New Roman"/>
          <w:color w:val="000000"/>
          <w:sz w:val="28"/>
          <w:szCs w:val="28"/>
        </w:rPr>
        <w:t xml:space="preserve"> phải xin ý kiến của Bộ Thông tin và Truyền thông).</w:t>
      </w:r>
    </w:p>
    <w:p w:rsidR="00DE30DC" w:rsidRPr="00751F8E" w:rsidRDefault="00DE30DC" w:rsidP="00534E2C">
      <w:pPr>
        <w:pStyle w:val="BodyText"/>
        <w:spacing w:before="240" w:line="340" w:lineRule="exact"/>
        <w:ind w:firstLine="567"/>
        <w:rPr>
          <w:rFonts w:ascii="Times New Roman" w:hAnsi="Times New Roman"/>
          <w:b/>
          <w:color w:val="000000"/>
          <w:sz w:val="28"/>
          <w:szCs w:val="28"/>
        </w:rPr>
      </w:pPr>
      <w:r w:rsidRPr="00751F8E">
        <w:rPr>
          <w:rFonts w:ascii="Times New Roman" w:hAnsi="Times New Roman"/>
          <w:b/>
          <w:color w:val="000000"/>
          <w:sz w:val="28"/>
          <w:szCs w:val="28"/>
        </w:rPr>
        <w:t>5.2. Bồi dưỡng, đào tạo cho người làm công tác pháp chế</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Theo quy định tại Điều 12 và Điều 17 Nghị định số 55/2011/NĐ-CP kể từ ngày 25/8/2016 (tức là sau 5 năm kể từ ngày Nghị định số 55/2011/NĐ-CP có hiệu lực), người làm công tác pháp chế phải có trình độ cử nhân luật trở lên; người đứng đầu tổ chức pháp chế phải có 5 năm kinh nghiệm làm công tác pháp luật. Tuy nhiên, trong giai đoạn hiện nay, tổ chức pháp chế đã và đang được giao thêm nhiều nhiệm vụ mới có tính đặc thù, quan trọng, trách nhiệm cao với nhiều khó khăn, thách thức. Do đó, để thực hiện những nhiệm vụ, công việc này đòi hỏi người làm công tác pháp chế phải thường xuyên cập nhật, trau dồi kiến thức chuyên môn, nghiệp vụ, kỹ năng thực hiện công việc. Vì vậy, cần nghiên cứu, bổ sung quy định về trách nhiệm của người làm công tác pháp chế tham gia đào tạo, bồi dưỡng nghiệp vụ pháp chế hàng năm do Bộ Tư pháp (Học viện Tư pháp) tổ chức</w:t>
      </w:r>
      <w:r w:rsidRPr="00534E2C">
        <w:rPr>
          <w:rFonts w:ascii="Times New Roman" w:hAnsi="Times New Roman"/>
          <w:color w:val="000000"/>
        </w:rPr>
        <w:footnoteReference w:id="16"/>
      </w:r>
      <w:r w:rsidRPr="00534E2C">
        <w:rPr>
          <w:rFonts w:ascii="Times New Roman" w:hAnsi="Times New Roman"/>
          <w:color w:val="000000"/>
          <w:sz w:val="28"/>
          <w:szCs w:val="28"/>
        </w:rPr>
        <w:t>; đồng thời hoàn thiện trình độ cử nhân luật bằng 2 cho người làm công tác pháp chế chưa có trình độ cử nhân luật do Trường Đại học Luật tổ chức</w:t>
      </w:r>
      <w:r w:rsidRPr="00534E2C">
        <w:rPr>
          <w:rFonts w:ascii="Times New Roman" w:hAnsi="Times New Roman"/>
          <w:color w:val="000000"/>
        </w:rPr>
        <w:footnoteReference w:id="17"/>
      </w:r>
      <w:r w:rsidRPr="00534E2C">
        <w:rPr>
          <w:rFonts w:ascii="Times New Roman" w:hAnsi="Times New Roman"/>
          <w:color w:val="000000"/>
          <w:sz w:val="28"/>
          <w:szCs w:val="28"/>
        </w:rPr>
        <w:t xml:space="preserve">.  </w:t>
      </w:r>
    </w:p>
    <w:p w:rsidR="00DE30DC" w:rsidRPr="00534E2C" w:rsidRDefault="00DE30DC" w:rsidP="00534E2C">
      <w:pPr>
        <w:pStyle w:val="BodyText"/>
        <w:spacing w:before="240" w:line="340" w:lineRule="exact"/>
        <w:ind w:firstLine="567"/>
        <w:rPr>
          <w:rFonts w:ascii="Times New Roman" w:hAnsi="Times New Roman"/>
          <w:color w:val="000000"/>
          <w:sz w:val="28"/>
          <w:szCs w:val="28"/>
        </w:rPr>
      </w:pPr>
      <w:r w:rsidRPr="00534E2C">
        <w:rPr>
          <w:rFonts w:ascii="Times New Roman" w:hAnsi="Times New Roman"/>
          <w:color w:val="000000"/>
          <w:sz w:val="28"/>
          <w:szCs w:val="28"/>
        </w:rPr>
        <w:t>Trên đây là Báo cáo định hướng  xây dựng dự thảo Nghị định sửa đổi, bổ sung một số điều của Nghị định số 55/2011/NĐ-CP về chức năng, nhiệm vụ, quyền hạn và tổ chức bộ máy của tổ chức pháp chế./.</w:t>
      </w:r>
    </w:p>
    <w:p w:rsidR="00DE30DC" w:rsidRPr="00CB0F9D" w:rsidRDefault="00DE30DC" w:rsidP="00DE30DC">
      <w:pPr>
        <w:spacing w:before="120" w:line="340" w:lineRule="atLeast"/>
        <w:ind w:firstLine="567"/>
        <w:jc w:val="both"/>
        <w:rPr>
          <w:color w:val="000000" w:themeColor="text1"/>
          <w:spacing w:val="-2"/>
          <w:sz w:val="28"/>
          <w:szCs w:val="28"/>
          <w:lang w:val="nb-NO"/>
        </w:rPr>
      </w:pPr>
    </w:p>
    <w:tbl>
      <w:tblPr>
        <w:tblW w:w="9708" w:type="dxa"/>
        <w:tblLayout w:type="fixed"/>
        <w:tblLook w:val="0000" w:firstRow="0" w:lastRow="0" w:firstColumn="0" w:lastColumn="0" w:noHBand="0" w:noVBand="0"/>
      </w:tblPr>
      <w:tblGrid>
        <w:gridCol w:w="4222"/>
        <w:gridCol w:w="5486"/>
      </w:tblGrid>
      <w:tr w:rsidR="00DE30DC" w:rsidRPr="00534E2C" w:rsidTr="005A5413">
        <w:tc>
          <w:tcPr>
            <w:tcW w:w="4222" w:type="dxa"/>
          </w:tcPr>
          <w:p w:rsidR="00DE30DC" w:rsidRPr="00D915CF" w:rsidRDefault="00DE30DC" w:rsidP="005A5413">
            <w:pPr>
              <w:ind w:firstLine="561"/>
              <w:rPr>
                <w:b/>
                <w:i/>
                <w:color w:val="000000" w:themeColor="text1"/>
                <w:lang w:val="vi-VN"/>
              </w:rPr>
            </w:pPr>
          </w:p>
        </w:tc>
        <w:tc>
          <w:tcPr>
            <w:tcW w:w="5486" w:type="dxa"/>
          </w:tcPr>
          <w:p w:rsidR="00DE30DC" w:rsidRPr="00D915CF" w:rsidRDefault="00DE30DC" w:rsidP="005A5413">
            <w:pPr>
              <w:ind w:firstLine="561"/>
              <w:rPr>
                <w:b/>
                <w:color w:val="000000" w:themeColor="text1"/>
                <w:lang w:val="vi-VN"/>
              </w:rPr>
            </w:pPr>
          </w:p>
        </w:tc>
      </w:tr>
    </w:tbl>
    <w:p w:rsidR="006023A2" w:rsidRPr="00E86179" w:rsidRDefault="00DE56FA">
      <w:pPr>
        <w:rPr>
          <w:lang w:val="nb-NO"/>
        </w:rPr>
      </w:pPr>
    </w:p>
    <w:sectPr w:rsidR="006023A2" w:rsidRPr="00E86179" w:rsidSect="005F5F6F">
      <w:headerReference w:type="default" r:id="rId8"/>
      <w:footerReference w:type="even"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6FA" w:rsidRDefault="00DE56FA" w:rsidP="00DE30DC">
      <w:r>
        <w:separator/>
      </w:r>
    </w:p>
  </w:endnote>
  <w:endnote w:type="continuationSeparator" w:id="0">
    <w:p w:rsidR="00DE56FA" w:rsidRDefault="00DE56FA" w:rsidP="00DE3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C37" w:rsidRDefault="003D1FE3" w:rsidP="009A7C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7C37" w:rsidRDefault="00DE56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6FA" w:rsidRDefault="00DE56FA" w:rsidP="00DE30DC">
      <w:r>
        <w:separator/>
      </w:r>
    </w:p>
  </w:footnote>
  <w:footnote w:type="continuationSeparator" w:id="0">
    <w:p w:rsidR="00DE56FA" w:rsidRDefault="00DE56FA" w:rsidP="00DE30DC">
      <w:r>
        <w:continuationSeparator/>
      </w:r>
    </w:p>
  </w:footnote>
  <w:footnote w:id="1">
    <w:p w:rsidR="00DE30DC" w:rsidRPr="00997239" w:rsidRDefault="00DE30DC" w:rsidP="00DE30DC">
      <w:pPr>
        <w:pStyle w:val="FootnoteText"/>
        <w:jc w:val="both"/>
        <w:rPr>
          <w:i/>
          <w:lang w:val="da-DK"/>
        </w:rPr>
      </w:pPr>
      <w:r>
        <w:rPr>
          <w:rStyle w:val="FootnoteReference"/>
        </w:rPr>
        <w:footnoteRef/>
      </w:r>
      <w:r>
        <w:t xml:space="preserve"> </w:t>
      </w:r>
      <w:r>
        <w:rPr>
          <w:lang w:val="da-DK"/>
        </w:rPr>
        <w:t>Đối với t</w:t>
      </w:r>
      <w:r w:rsidRPr="006B76C9">
        <w:rPr>
          <w:lang w:val="da-DK"/>
        </w:rPr>
        <w:t>ổ chức làm công tác pháp chế trong các cơ sở giáo dục đại học</w:t>
      </w:r>
      <w:r>
        <w:rPr>
          <w:lang w:val="da-DK"/>
        </w:rPr>
        <w:t>: Đến</w:t>
      </w:r>
      <w:r w:rsidRPr="000D70A3">
        <w:rPr>
          <w:lang w:val="da-DK"/>
        </w:rPr>
        <w:t xml:space="preserve"> nay</w:t>
      </w:r>
      <w:r>
        <w:rPr>
          <w:lang w:val="da-DK"/>
        </w:rPr>
        <w:t xml:space="preserve">, </w:t>
      </w:r>
      <w:r w:rsidRPr="000D70A3">
        <w:rPr>
          <w:lang w:val="da-DK"/>
        </w:rPr>
        <w:t xml:space="preserve">nhiều trường </w:t>
      </w:r>
      <w:r>
        <w:rPr>
          <w:lang w:val="da-DK"/>
        </w:rPr>
        <w:t>Đ</w:t>
      </w:r>
      <w:r w:rsidRPr="000D70A3">
        <w:rPr>
          <w:lang w:val="da-DK"/>
        </w:rPr>
        <w:t xml:space="preserve">ại học, </w:t>
      </w:r>
      <w:r>
        <w:rPr>
          <w:lang w:val="da-DK"/>
        </w:rPr>
        <w:t>C</w:t>
      </w:r>
      <w:r w:rsidRPr="000D70A3">
        <w:rPr>
          <w:lang w:val="da-DK"/>
        </w:rPr>
        <w:t>ao đẳng</w:t>
      </w:r>
      <w:r>
        <w:rPr>
          <w:lang w:val="da-DK"/>
        </w:rPr>
        <w:t xml:space="preserve"> sư phạm</w:t>
      </w:r>
      <w:r w:rsidRPr="000D70A3">
        <w:rPr>
          <w:lang w:val="da-DK"/>
        </w:rPr>
        <w:t xml:space="preserve"> đã cử cán bộ làm công tác pháp chế kiêm nhiệm hoặc chuyên trách; một số trường đã thành lập </w:t>
      </w:r>
      <w:r>
        <w:rPr>
          <w:lang w:val="da-DK"/>
        </w:rPr>
        <w:t>P</w:t>
      </w:r>
      <w:r w:rsidRPr="000D70A3">
        <w:rPr>
          <w:lang w:val="da-DK"/>
        </w:rPr>
        <w:t xml:space="preserve">hòng </w:t>
      </w:r>
      <w:r>
        <w:rPr>
          <w:lang w:val="da-DK"/>
        </w:rPr>
        <w:t>P</w:t>
      </w:r>
      <w:r w:rsidRPr="000D70A3">
        <w:rPr>
          <w:lang w:val="da-DK"/>
        </w:rPr>
        <w:t xml:space="preserve">háp chế hoặc </w:t>
      </w:r>
      <w:r>
        <w:rPr>
          <w:lang w:val="da-DK"/>
        </w:rPr>
        <w:t>B</w:t>
      </w:r>
      <w:r w:rsidRPr="000D70A3">
        <w:rPr>
          <w:lang w:val="da-DK"/>
        </w:rPr>
        <w:t xml:space="preserve">an </w:t>
      </w:r>
      <w:r>
        <w:rPr>
          <w:lang w:val="da-DK"/>
        </w:rPr>
        <w:t>P</w:t>
      </w:r>
      <w:r w:rsidRPr="000D70A3">
        <w:rPr>
          <w:lang w:val="da-DK"/>
        </w:rPr>
        <w:t>háp chế như Đại học Huế, Đại học Quốc gia Hà Nội, Đại học Thái Nguyên, Đại học Quốc gia Thành phố Hồ Chí Minh, Trường Đại học Kinh tế quốc dân, Đại học Đà Nẵng, Trường Đại học Kinh tế TP. HCM, Viện Đại học Mở Hà Nội, Trường Đại học Xây dựng...</w:t>
      </w:r>
      <w:r>
        <w:rPr>
          <w:lang w:val="da-DK"/>
        </w:rPr>
        <w:t xml:space="preserve">; các trường còn lại đều bố trí người phụ trách công tác pháp chế </w:t>
      </w:r>
      <w:r w:rsidRPr="00997239">
        <w:rPr>
          <w:i/>
          <w:lang w:val="da-DK"/>
        </w:rPr>
        <w:t>(theo Báo cáo kết quả phối hợp thực hiện công tác pháp chế giữa Bộ Giáo dục và Đào tạo và Bộ Tư pháp năm 2020 và phương hướng, nhiệm vụ năm 2021)</w:t>
      </w:r>
    </w:p>
  </w:footnote>
  <w:footnote w:id="2">
    <w:p w:rsidR="00DE30DC" w:rsidRPr="00997239" w:rsidRDefault="00DE30DC" w:rsidP="00DE30DC">
      <w:pPr>
        <w:pStyle w:val="FootnoteText"/>
        <w:rPr>
          <w:sz w:val="22"/>
          <w:szCs w:val="22"/>
          <w:lang w:val="da-DK"/>
        </w:rPr>
      </w:pPr>
      <w:r>
        <w:rPr>
          <w:rStyle w:val="FootnoteReference"/>
        </w:rPr>
        <w:footnoteRef/>
      </w:r>
      <w:r w:rsidRPr="00997239">
        <w:rPr>
          <w:lang w:val="da-DK"/>
        </w:rPr>
        <w:t xml:space="preserve"> </w:t>
      </w:r>
      <w:r w:rsidRPr="00C24FE7">
        <w:rPr>
          <w:color w:val="000000"/>
          <w:sz w:val="22"/>
          <w:szCs w:val="22"/>
          <w:lang w:val="vi-VN"/>
        </w:rPr>
        <w:t>Điểm 1 của Chỉ thị số 26/CT-TTg  ngày 28/9/2012 của Thủ tướng Chính phủ về việc triển khai thi hành Pháp lệnh hợp nhất VBQPPL và Pháp lệnh pháp điển hệ thống QPPL</w:t>
      </w:r>
      <w:r w:rsidRPr="00997239">
        <w:rPr>
          <w:color w:val="000000"/>
          <w:sz w:val="22"/>
          <w:szCs w:val="22"/>
          <w:lang w:val="da-DK"/>
        </w:rPr>
        <w:t>.</w:t>
      </w:r>
    </w:p>
  </w:footnote>
  <w:footnote w:id="3">
    <w:p w:rsidR="00DE30DC" w:rsidRPr="00997239" w:rsidRDefault="00DE30DC" w:rsidP="00DE30DC">
      <w:pPr>
        <w:pStyle w:val="FootnoteText"/>
        <w:jc w:val="both"/>
        <w:rPr>
          <w:sz w:val="22"/>
          <w:szCs w:val="22"/>
          <w:lang w:val="da-DK"/>
        </w:rPr>
      </w:pPr>
      <w:r>
        <w:rPr>
          <w:rStyle w:val="FootnoteReference"/>
        </w:rPr>
        <w:footnoteRef/>
      </w:r>
      <w:r w:rsidRPr="00997239">
        <w:rPr>
          <w:lang w:val="da-DK"/>
        </w:rPr>
        <w:t xml:space="preserve"> </w:t>
      </w:r>
      <w:r w:rsidRPr="00997239">
        <w:rPr>
          <w:sz w:val="22"/>
          <w:szCs w:val="22"/>
          <w:lang w:val="da-DK"/>
        </w:rPr>
        <w:t xml:space="preserve">Khoản 8 Điều 27 và khoản 1 Điều 30 Nghị định số 81/2013/NĐ-CP ngày 19/7/2013 của Chính phủ quy định chi tiết một số điều và biện pháp thi hành </w:t>
      </w:r>
      <w:r w:rsidRPr="00C24FE7">
        <w:rPr>
          <w:sz w:val="22"/>
          <w:szCs w:val="22"/>
          <w:lang w:val="vi-VN"/>
        </w:rPr>
        <w:t>Luật Xử lý vi phạm hành chính</w:t>
      </w:r>
      <w:r w:rsidRPr="00997239">
        <w:rPr>
          <w:sz w:val="22"/>
          <w:szCs w:val="22"/>
          <w:lang w:val="da-DK"/>
        </w:rPr>
        <w:t xml:space="preserve"> năm 2012 (được sửa đổi bổ sung năm 2020)</w:t>
      </w:r>
      <w:r>
        <w:rPr>
          <w:sz w:val="22"/>
          <w:szCs w:val="22"/>
          <w:lang w:val="da-DK"/>
        </w:rPr>
        <w:t>.</w:t>
      </w:r>
    </w:p>
  </w:footnote>
  <w:footnote w:id="4">
    <w:p w:rsidR="00DE30DC" w:rsidRPr="00997239" w:rsidRDefault="00DE30DC" w:rsidP="00DE30DC">
      <w:pPr>
        <w:pStyle w:val="FootnoteText"/>
        <w:jc w:val="both"/>
        <w:rPr>
          <w:sz w:val="22"/>
          <w:szCs w:val="22"/>
          <w:lang w:val="da-DK"/>
        </w:rPr>
      </w:pPr>
      <w:r>
        <w:rPr>
          <w:rStyle w:val="FootnoteReference"/>
        </w:rPr>
        <w:footnoteRef/>
      </w:r>
      <w:r w:rsidRPr="00997239">
        <w:rPr>
          <w:lang w:val="da-DK"/>
        </w:rPr>
        <w:t xml:space="preserve"> </w:t>
      </w:r>
      <w:r w:rsidRPr="00997239">
        <w:rPr>
          <w:color w:val="000000"/>
          <w:sz w:val="22"/>
          <w:szCs w:val="22"/>
          <w:lang w:val="da-DK"/>
        </w:rPr>
        <w:t xml:space="preserve">Bỏ </w:t>
      </w:r>
      <w:r w:rsidRPr="00C24FE7">
        <w:rPr>
          <w:sz w:val="22"/>
          <w:szCs w:val="22"/>
          <w:lang w:val="vi-VN"/>
        </w:rPr>
        <w:t>điểm b khoản 1 Điều 3 Nghị định số 55/2011/NĐ-CP</w:t>
      </w:r>
      <w:r w:rsidRPr="00997239">
        <w:rPr>
          <w:sz w:val="22"/>
          <w:szCs w:val="22"/>
          <w:lang w:val="da-DK"/>
        </w:rPr>
        <w:t xml:space="preserve">, bổ sung trách nhiệm của tổ chức pháp chế </w:t>
      </w:r>
      <w:r>
        <w:rPr>
          <w:sz w:val="22"/>
          <w:szCs w:val="22"/>
          <w:lang w:val="da-DK"/>
        </w:rPr>
        <w:t>b</w:t>
      </w:r>
      <w:r w:rsidRPr="00997239">
        <w:rPr>
          <w:sz w:val="22"/>
          <w:szCs w:val="22"/>
          <w:lang w:val="da-DK"/>
        </w:rPr>
        <w:t xml:space="preserve">ộ, cơ quan ngang bộ trong </w:t>
      </w:r>
      <w:r w:rsidRPr="00997239">
        <w:rPr>
          <w:color w:val="000000" w:themeColor="text1"/>
          <w:sz w:val="22"/>
          <w:szCs w:val="22"/>
          <w:lang w:val="da-DK"/>
        </w:rPr>
        <w:t>việc xây dựng, theo dõi, đôn đốc việc xây dựng văn bản quy định chi tiết</w:t>
      </w:r>
    </w:p>
  </w:footnote>
  <w:footnote w:id="5">
    <w:p w:rsidR="00DE30DC" w:rsidRPr="00997239" w:rsidRDefault="00DE30DC" w:rsidP="00DE30DC">
      <w:pPr>
        <w:pStyle w:val="FootnoteText"/>
        <w:jc w:val="both"/>
        <w:rPr>
          <w:lang w:val="da-DK"/>
        </w:rPr>
      </w:pPr>
      <w:r>
        <w:rPr>
          <w:rStyle w:val="FootnoteReference"/>
        </w:rPr>
        <w:footnoteRef/>
      </w:r>
      <w:r w:rsidRPr="00997239">
        <w:rPr>
          <w:lang w:val="da-DK"/>
        </w:rPr>
        <w:t xml:space="preserve"> S</w:t>
      </w:r>
      <w:r w:rsidRPr="005B1ED6">
        <w:rPr>
          <w:color w:val="000000" w:themeColor="text1"/>
          <w:sz w:val="22"/>
          <w:szCs w:val="22"/>
          <w:lang w:val="vi-VN"/>
        </w:rPr>
        <w:t xml:space="preserve">ửa đổi quy định về chế độ báo cáo của tổ chức pháp chế các </w:t>
      </w:r>
      <w:r w:rsidRPr="00997239">
        <w:rPr>
          <w:color w:val="000000" w:themeColor="text1"/>
          <w:sz w:val="22"/>
          <w:szCs w:val="22"/>
          <w:lang w:val="da-DK"/>
        </w:rPr>
        <w:t>b</w:t>
      </w:r>
      <w:r w:rsidRPr="005B1ED6">
        <w:rPr>
          <w:color w:val="000000" w:themeColor="text1"/>
          <w:sz w:val="22"/>
          <w:szCs w:val="22"/>
          <w:lang w:val="vi-VN"/>
        </w:rPr>
        <w:t xml:space="preserve">ộ, cơ quan ngang </w:t>
      </w:r>
      <w:r w:rsidRPr="00997239">
        <w:rPr>
          <w:color w:val="000000" w:themeColor="text1"/>
          <w:sz w:val="22"/>
          <w:szCs w:val="22"/>
          <w:lang w:val="da-DK"/>
        </w:rPr>
        <w:t>b</w:t>
      </w:r>
      <w:r w:rsidRPr="005B1ED6">
        <w:rPr>
          <w:color w:val="000000" w:themeColor="text1"/>
          <w:sz w:val="22"/>
          <w:szCs w:val="22"/>
          <w:lang w:val="vi-VN"/>
        </w:rPr>
        <w:t>ộ để đảm bảo tính thống nhất với quy định tại Điều 170 Nghị định số 34/2016/NĐ-CP</w:t>
      </w:r>
      <w:r w:rsidRPr="00997239">
        <w:rPr>
          <w:color w:val="000000" w:themeColor="text1"/>
          <w:sz w:val="22"/>
          <w:szCs w:val="22"/>
          <w:lang w:val="da-DK"/>
        </w:rPr>
        <w:t>.</w:t>
      </w:r>
    </w:p>
  </w:footnote>
  <w:footnote w:id="6">
    <w:p w:rsidR="00DE30DC" w:rsidRPr="00997239" w:rsidRDefault="00DE30DC" w:rsidP="00DE30DC">
      <w:pPr>
        <w:pStyle w:val="FootnoteText"/>
        <w:jc w:val="both"/>
        <w:rPr>
          <w:sz w:val="22"/>
          <w:szCs w:val="22"/>
          <w:lang w:val="da-DK"/>
        </w:rPr>
      </w:pPr>
      <w:r>
        <w:rPr>
          <w:rStyle w:val="FootnoteReference"/>
        </w:rPr>
        <w:footnoteRef/>
      </w:r>
      <w:r w:rsidRPr="00997239">
        <w:rPr>
          <w:lang w:val="da-DK"/>
        </w:rPr>
        <w:t xml:space="preserve"> </w:t>
      </w:r>
      <w:r w:rsidRPr="00997239">
        <w:rPr>
          <w:color w:val="000000" w:themeColor="text1"/>
          <w:sz w:val="22"/>
          <w:szCs w:val="22"/>
          <w:lang w:val="da-DK"/>
        </w:rPr>
        <w:t>S</w:t>
      </w:r>
      <w:r w:rsidRPr="005B1ED6">
        <w:rPr>
          <w:color w:val="000000" w:themeColor="text1"/>
          <w:sz w:val="22"/>
          <w:szCs w:val="22"/>
          <w:lang w:val="vi-VN"/>
        </w:rPr>
        <w:t>ửa đổi, bổ sung trách nhiệm phối hợp thực hiện pháp điển hệ thống quy phạm pháp luật để đảm bảo phù hợp với quy định tại Khoản 1 Điều 4 Pháp lệnh Pháp điển hệ thống quy phạm pháp luật năm 2012</w:t>
      </w:r>
    </w:p>
  </w:footnote>
  <w:footnote w:id="7">
    <w:p w:rsidR="00DE30DC" w:rsidRPr="00CB0F9D" w:rsidRDefault="00DE30DC" w:rsidP="00DE30DC">
      <w:pPr>
        <w:pStyle w:val="FootnoteText"/>
        <w:jc w:val="both"/>
        <w:rPr>
          <w:sz w:val="22"/>
          <w:szCs w:val="22"/>
          <w:lang w:val="da-DK"/>
        </w:rPr>
      </w:pPr>
      <w:r>
        <w:rPr>
          <w:rStyle w:val="FootnoteReference"/>
        </w:rPr>
        <w:footnoteRef/>
      </w:r>
      <w:r w:rsidRPr="00CB0F9D">
        <w:rPr>
          <w:lang w:val="da-DK"/>
        </w:rPr>
        <w:t xml:space="preserve"> </w:t>
      </w:r>
      <w:r w:rsidRPr="00CB0F9D">
        <w:rPr>
          <w:color w:val="000000"/>
          <w:sz w:val="22"/>
          <w:szCs w:val="22"/>
          <w:lang w:val="da-DK"/>
        </w:rPr>
        <w:t xml:space="preserve">Bổ sung các nhiệm vụ </w:t>
      </w:r>
      <w:r w:rsidRPr="00C24FE7">
        <w:rPr>
          <w:color w:val="000000"/>
          <w:sz w:val="22"/>
          <w:szCs w:val="22"/>
          <w:lang w:val="it-IT"/>
        </w:rPr>
        <w:t xml:space="preserve">quy định tại </w:t>
      </w:r>
      <w:r>
        <w:rPr>
          <w:color w:val="000000"/>
          <w:sz w:val="22"/>
          <w:szCs w:val="22"/>
          <w:lang w:val="it-IT"/>
        </w:rPr>
        <w:t xml:space="preserve">khoản 1 </w:t>
      </w:r>
      <w:r w:rsidRPr="00C24FE7">
        <w:rPr>
          <w:color w:val="000000"/>
          <w:sz w:val="22"/>
          <w:szCs w:val="22"/>
          <w:lang w:val="it-IT"/>
        </w:rPr>
        <w:t xml:space="preserve">Điều 25, </w:t>
      </w:r>
      <w:r>
        <w:rPr>
          <w:color w:val="000000"/>
          <w:sz w:val="22"/>
          <w:szCs w:val="22"/>
          <w:lang w:val="it-IT"/>
        </w:rPr>
        <w:t xml:space="preserve">khoản 2 </w:t>
      </w:r>
      <w:r w:rsidRPr="00C24FE7">
        <w:rPr>
          <w:color w:val="000000"/>
          <w:sz w:val="22"/>
          <w:szCs w:val="22"/>
          <w:lang w:val="it-IT"/>
        </w:rPr>
        <w:t>Điều 27</w:t>
      </w:r>
      <w:r w:rsidRPr="00CB0F9D">
        <w:rPr>
          <w:color w:val="000000"/>
          <w:sz w:val="22"/>
          <w:szCs w:val="22"/>
          <w:lang w:val="da-DK"/>
        </w:rPr>
        <w:t xml:space="preserve"> Luật Phổ biến, giáo dục pháp luật năm 2013 và Điều 3, Điều 4, Điều 7 Nghị định số 28/2013/NĐ-CP quy định chi tiết một số điều và biện pháp thi hành Luật Phổ biến, giáo dục pháp luật;</w:t>
      </w:r>
      <w:r w:rsidRPr="00C24FE7">
        <w:rPr>
          <w:color w:val="000000"/>
          <w:sz w:val="22"/>
          <w:szCs w:val="22"/>
          <w:lang w:val="vi-VN"/>
        </w:rPr>
        <w:t xml:space="preserve"> sửa đổi</w:t>
      </w:r>
      <w:r w:rsidRPr="00CB0F9D">
        <w:rPr>
          <w:color w:val="000000"/>
          <w:sz w:val="22"/>
          <w:szCs w:val="22"/>
          <w:lang w:val="da-DK"/>
        </w:rPr>
        <w:t xml:space="preserve"> một số quy định về chế độ báo cáo về công tác phổ biến giáo dục pháp luật.</w:t>
      </w:r>
    </w:p>
  </w:footnote>
  <w:footnote w:id="8">
    <w:p w:rsidR="00DE30DC" w:rsidRPr="00CB0F9D" w:rsidRDefault="00DE30DC" w:rsidP="00DE30DC">
      <w:pPr>
        <w:pStyle w:val="FootnoteText"/>
        <w:jc w:val="both"/>
        <w:rPr>
          <w:sz w:val="22"/>
          <w:szCs w:val="22"/>
          <w:lang w:val="da-DK"/>
        </w:rPr>
      </w:pPr>
      <w:r>
        <w:rPr>
          <w:rStyle w:val="FootnoteReference"/>
        </w:rPr>
        <w:footnoteRef/>
      </w:r>
      <w:r w:rsidRPr="00CB0F9D">
        <w:rPr>
          <w:lang w:val="da-DK"/>
        </w:rPr>
        <w:t xml:space="preserve"> Bỏ </w:t>
      </w:r>
      <w:r w:rsidRPr="00557BD8">
        <w:rPr>
          <w:color w:val="000000" w:themeColor="text1"/>
          <w:sz w:val="22"/>
          <w:szCs w:val="22"/>
          <w:lang w:val="vi-VN"/>
        </w:rPr>
        <w:t>khoản 6, Điều 5</w:t>
      </w:r>
      <w:r w:rsidRPr="00CB0F9D">
        <w:rPr>
          <w:color w:val="000000" w:themeColor="text1"/>
          <w:sz w:val="22"/>
          <w:szCs w:val="22"/>
          <w:lang w:val="da-DK"/>
        </w:rPr>
        <w:t>,</w:t>
      </w:r>
      <w:r w:rsidRPr="005B1ED6">
        <w:rPr>
          <w:color w:val="000000" w:themeColor="text1"/>
          <w:sz w:val="22"/>
          <w:szCs w:val="22"/>
          <w:lang w:val="vi-VN"/>
        </w:rPr>
        <w:t xml:space="preserve"> khoản 1 Điều 4 </w:t>
      </w:r>
      <w:r w:rsidRPr="00C24FE7">
        <w:rPr>
          <w:sz w:val="22"/>
          <w:szCs w:val="22"/>
          <w:lang w:val="vi-VN"/>
        </w:rPr>
        <w:t>Nghị định số 55/2011/NĐ-CP</w:t>
      </w:r>
      <w:r w:rsidRPr="00CB0F9D">
        <w:rPr>
          <w:sz w:val="22"/>
          <w:szCs w:val="22"/>
          <w:lang w:val="da-DK"/>
        </w:rPr>
        <w:t xml:space="preserve"> vì Luật Trách nhiệm bồi thường của nhà nước năm 2017 và Nghị định số 68/2018/NĐ-CP ngày 15/5/2018 của Chính phủ quy định chi tiết một số điều và hướng dẫn thi hành Luật Trách nhiệm bồi thường của nhà nước không quy định trách nhiệm của các tổ chức pháp chế trong việc thực hiện công tác này; </w:t>
      </w:r>
      <w:r w:rsidRPr="005B1ED6">
        <w:rPr>
          <w:sz w:val="22"/>
          <w:szCs w:val="22"/>
          <w:lang w:val="vi-VN"/>
        </w:rPr>
        <w:t>khoản 2 Điều 32 Thông tư số 08/2019/TT-BTP ngày 10/12/2019 của Bộ trưởng Bộ Tư pháp quy định biện pháp thực hiện chức năng quản lý nhà nước về công tác bồi thường nhà nước</w:t>
      </w:r>
      <w:r w:rsidRPr="00CB0F9D">
        <w:rPr>
          <w:sz w:val="22"/>
          <w:szCs w:val="22"/>
          <w:lang w:val="da-DK"/>
        </w:rPr>
        <w:t xml:space="preserve"> cũng chỉ quy định trách nhiệm của Tổ chức pháp chế tại bộ, cơ quan ngang bộ trong việc thực hiện công tác này.</w:t>
      </w:r>
    </w:p>
  </w:footnote>
  <w:footnote w:id="9">
    <w:p w:rsidR="00DE30DC" w:rsidRPr="00CB0F9D" w:rsidRDefault="00DE30DC" w:rsidP="00DE30DC">
      <w:pPr>
        <w:pStyle w:val="FootnoteText"/>
        <w:rPr>
          <w:sz w:val="22"/>
          <w:szCs w:val="22"/>
          <w:lang w:val="da-DK"/>
        </w:rPr>
      </w:pPr>
      <w:r w:rsidRPr="00CB0F9D">
        <w:rPr>
          <w:rStyle w:val="FootnoteReference"/>
          <w:sz w:val="22"/>
          <w:szCs w:val="22"/>
        </w:rPr>
        <w:footnoteRef/>
      </w:r>
      <w:r w:rsidRPr="00CB0F9D">
        <w:rPr>
          <w:sz w:val="22"/>
          <w:szCs w:val="22"/>
          <w:lang w:val="da-DK"/>
        </w:rPr>
        <w:t xml:space="preserve"> Khoản 24 Điều 4 Luật Doanh nghiệp năm 2020 về giải thích từ ngữ</w:t>
      </w:r>
    </w:p>
  </w:footnote>
  <w:footnote w:id="10">
    <w:p w:rsidR="00DE30DC" w:rsidRPr="00993B8C" w:rsidRDefault="00DE30DC" w:rsidP="00DE30DC">
      <w:pPr>
        <w:pStyle w:val="FootnoteText"/>
        <w:jc w:val="both"/>
        <w:rPr>
          <w:lang w:val="vi-VN"/>
        </w:rPr>
      </w:pPr>
      <w:r>
        <w:rPr>
          <w:rStyle w:val="FootnoteReference"/>
        </w:rPr>
        <w:footnoteRef/>
      </w:r>
      <w:r w:rsidRPr="00CB0F9D">
        <w:rPr>
          <w:color w:val="000000"/>
          <w:lang w:val="da-DK"/>
        </w:rPr>
        <w:t xml:space="preserve"> T</w:t>
      </w:r>
      <w:r w:rsidRPr="005F3714">
        <w:rPr>
          <w:color w:val="000000"/>
          <w:lang w:val="vi-VN"/>
        </w:rPr>
        <w:t xml:space="preserve">rong đó có </w:t>
      </w:r>
      <w:r w:rsidRPr="005F3714">
        <w:rPr>
          <w:b/>
          <w:color w:val="000000"/>
          <w:lang w:val="vi-VN"/>
        </w:rPr>
        <w:t xml:space="preserve">276/882 </w:t>
      </w:r>
      <w:r w:rsidRPr="005F3714">
        <w:rPr>
          <w:color w:val="000000"/>
          <w:lang w:val="vi-VN"/>
        </w:rPr>
        <w:t xml:space="preserve">Phòng Pháp chế được thành lập tại 14 cơ quan chuyên môn thuộc UBND cấp tỉnh theo quy định tại khoản 1 Điều 9 Nghị định số 55/2011/NĐ-CP, </w:t>
      </w:r>
      <w:r w:rsidRPr="005F3714">
        <w:rPr>
          <w:b/>
          <w:color w:val="000000"/>
          <w:lang w:val="vi-VN"/>
        </w:rPr>
        <w:t>08/63</w:t>
      </w:r>
      <w:r w:rsidRPr="005F3714">
        <w:rPr>
          <w:color w:val="000000"/>
          <w:lang w:val="vi-VN"/>
        </w:rPr>
        <w:t xml:space="preserve"> địa phương đã ban hành quyết định thành lập được từ 14 Phòng Pháp chế trở lên; </w:t>
      </w:r>
      <w:r w:rsidRPr="005F3714">
        <w:rPr>
          <w:b/>
          <w:color w:val="000000"/>
          <w:lang w:val="vi-VN"/>
        </w:rPr>
        <w:t>28/63</w:t>
      </w:r>
      <w:r w:rsidRPr="005F3714">
        <w:rPr>
          <w:color w:val="000000"/>
          <w:lang w:val="vi-VN"/>
        </w:rPr>
        <w:t xml:space="preserve"> địa phương đã thành lập, kiện toàn được một số Phòng Pháp chế.</w:t>
      </w:r>
      <w:r w:rsidRPr="00F20D4D">
        <w:rPr>
          <w:spacing w:val="-4"/>
          <w:lang w:val="vi-VN"/>
        </w:rPr>
        <w:t xml:space="preserve"> </w:t>
      </w:r>
      <w:r w:rsidRPr="00993B8C">
        <w:rPr>
          <w:spacing w:val="-4"/>
          <w:lang w:val="vi-VN"/>
        </w:rPr>
        <w:t>(</w:t>
      </w:r>
      <w:r w:rsidRPr="00F20D4D">
        <w:rPr>
          <w:spacing w:val="-4"/>
          <w:lang w:val="vi-VN"/>
        </w:rPr>
        <w:t>Theo Báo cáo của Bộ Tư pháp tổng kết 06 năm thực hi</w:t>
      </w:r>
      <w:r>
        <w:rPr>
          <w:spacing w:val="-4"/>
          <w:lang w:val="vi-VN"/>
        </w:rPr>
        <w:t>ện Nghị định số 122/2004/NĐ-CP</w:t>
      </w:r>
      <w:r w:rsidRPr="00993B8C">
        <w:rPr>
          <w:spacing w:val="-4"/>
          <w:lang w:val="vi-VN"/>
        </w:rPr>
        <w:t>).</w:t>
      </w:r>
    </w:p>
  </w:footnote>
  <w:footnote w:id="11">
    <w:p w:rsidR="00DE30DC" w:rsidRPr="00993B8C" w:rsidRDefault="00DE30DC" w:rsidP="00DE30DC">
      <w:pPr>
        <w:pStyle w:val="FootnoteText"/>
        <w:rPr>
          <w:lang w:val="vi-VN"/>
        </w:rPr>
      </w:pPr>
      <w:r>
        <w:rPr>
          <w:rStyle w:val="FootnoteReference"/>
        </w:rPr>
        <w:footnoteRef/>
      </w:r>
      <w:r w:rsidRPr="00993B8C">
        <w:rPr>
          <w:lang w:val="vi-VN"/>
        </w:rPr>
        <w:t xml:space="preserve"> Trong đó có 40 Phòng Pháp chế được thành lập tại 14 </w:t>
      </w:r>
      <w:r w:rsidRPr="005F3714">
        <w:rPr>
          <w:color w:val="000000"/>
          <w:lang w:val="vi-VN"/>
        </w:rPr>
        <w:t>14 cơ quan chuyên môn thuộc UBND cấp tỉnh theo quy định tại khoản 1 Điều 9 Nghị định số 55/2011/NĐ-CP</w:t>
      </w:r>
      <w:r w:rsidRPr="00993B8C">
        <w:rPr>
          <w:color w:val="000000"/>
          <w:lang w:val="vi-VN"/>
        </w:rPr>
        <w:t>.</w:t>
      </w:r>
    </w:p>
  </w:footnote>
  <w:footnote w:id="12">
    <w:p w:rsidR="00DE30DC" w:rsidRPr="00997239" w:rsidRDefault="00DE30DC" w:rsidP="00DE30DC">
      <w:pPr>
        <w:tabs>
          <w:tab w:val="left" w:pos="2309"/>
        </w:tabs>
        <w:spacing w:before="200" w:after="200"/>
        <w:ind w:left="57" w:right="57"/>
        <w:jc w:val="both"/>
        <w:rPr>
          <w:i/>
          <w:color w:val="FF0000"/>
          <w:sz w:val="20"/>
          <w:szCs w:val="20"/>
          <w:lang w:val="pl-PL"/>
        </w:rPr>
      </w:pPr>
      <w:r w:rsidRPr="00D915CF">
        <w:rPr>
          <w:rStyle w:val="FootnoteReference"/>
          <w:color w:val="000000" w:themeColor="text1"/>
        </w:rPr>
        <w:footnoteRef/>
      </w:r>
      <w:r w:rsidRPr="00D915CF">
        <w:rPr>
          <w:color w:val="000000" w:themeColor="text1"/>
          <w:lang w:val="vi-VN"/>
        </w:rPr>
        <w:t xml:space="preserve"> </w:t>
      </w:r>
      <w:r w:rsidRPr="00997239">
        <w:rPr>
          <w:bCs/>
          <w:color w:val="000000"/>
          <w:sz w:val="20"/>
          <w:szCs w:val="20"/>
          <w:lang w:val="vi-VN"/>
        </w:rPr>
        <w:t>Trích đề nghị của Bộ Tài chính tại Công văn số 4956/BTC-PC ngày 17/5/2021 về việc tổng kết 10 năm thực hiện Nghị định số 55/2011/NĐ-CP gửi Bộ Tư pháp:</w:t>
      </w:r>
      <w:r w:rsidRPr="00997239">
        <w:rPr>
          <w:bCs/>
          <w:color w:val="000000" w:themeColor="text1"/>
          <w:sz w:val="20"/>
          <w:szCs w:val="20"/>
          <w:lang w:val="vi-VN"/>
        </w:rPr>
        <w:t xml:space="preserve"> </w:t>
      </w:r>
      <w:r w:rsidRPr="00997239">
        <w:rPr>
          <w:bCs/>
          <w:i/>
          <w:color w:val="000000" w:themeColor="text1"/>
          <w:sz w:val="20"/>
          <w:szCs w:val="20"/>
          <w:lang w:val="vi-VN"/>
        </w:rPr>
        <w:t>“</w:t>
      </w:r>
      <w:r w:rsidRPr="00997239">
        <w:rPr>
          <w:i/>
          <w:color w:val="000000" w:themeColor="text1"/>
          <w:sz w:val="20"/>
          <w:szCs w:val="20"/>
          <w:lang w:val="pl-PL"/>
        </w:rPr>
        <w:t>Tại khoản 2 Điều 12 Nghị định số 55/2011/NĐ-CP đã quy định về chế độ phụ cấp cho người làm công tác pháp chế. Tuy nhiên quy định này không thực hiện được vì tại thời điểm đó Trung ương có chủ trương dừng ban hành các chế độ phụ cấp. Để thực hiện chủ trương này, đề nghị quy định trực tiếp vào Nghị định theo hướng quy định chế độ chi hỗ trợ cho cán bộ, công chức pháp chế (tương tự đối với chi hỗ trợ cho người làm công tác kiểm soát thủ tục hành chính....)”.</w:t>
      </w:r>
    </w:p>
  </w:footnote>
  <w:footnote w:id="13">
    <w:p w:rsidR="00DE30DC" w:rsidRPr="00CB0F9D" w:rsidRDefault="00DE30DC" w:rsidP="00DE30DC">
      <w:pPr>
        <w:pStyle w:val="FootnoteText"/>
        <w:rPr>
          <w:lang w:val="pl-PL"/>
        </w:rPr>
      </w:pPr>
      <w:r>
        <w:rPr>
          <w:rStyle w:val="FootnoteReference"/>
        </w:rPr>
        <w:footnoteRef/>
      </w:r>
      <w:r w:rsidRPr="00CB0F9D">
        <w:rPr>
          <w:lang w:val="pl-PL"/>
        </w:rPr>
        <w:t xml:space="preserve"> </w:t>
      </w:r>
      <w:r>
        <w:rPr>
          <w:lang w:val="pl-PL"/>
        </w:rPr>
        <w:t>Khoản 2 Điều 17 và khoản 2 Điều 23 Luật Thanh tra 2010.</w:t>
      </w:r>
    </w:p>
  </w:footnote>
  <w:footnote w:id="14">
    <w:p w:rsidR="00DE30DC" w:rsidRPr="00CB0F9D" w:rsidRDefault="00DE30DC" w:rsidP="00DE30DC">
      <w:pPr>
        <w:pStyle w:val="FootnoteText"/>
        <w:rPr>
          <w:lang w:val="pl-PL"/>
        </w:rPr>
      </w:pPr>
      <w:r>
        <w:rPr>
          <w:rStyle w:val="FootnoteReference"/>
        </w:rPr>
        <w:footnoteRef/>
      </w:r>
      <w:r w:rsidRPr="00CB0F9D">
        <w:rPr>
          <w:lang w:val="pl-PL"/>
        </w:rPr>
        <w:t xml:space="preserve"> </w:t>
      </w:r>
      <w:r>
        <w:rPr>
          <w:lang w:val="pl-PL"/>
        </w:rPr>
        <w:t>Nghị định số 195/2013/NĐ-CP ngày 21/11/2013 của Chính phủ quy định chi tiết một số điều và biện pháp thi hành Luật Xuất bản (được sửa đổi, bổ sung bởi Nghị định số 150/2018/NĐ-CP ngày 07/11/2018 của Chính phủ).</w:t>
      </w:r>
    </w:p>
  </w:footnote>
  <w:footnote w:id="15">
    <w:p w:rsidR="00DE30DC" w:rsidRPr="00CB0F9D" w:rsidRDefault="00DE30DC" w:rsidP="00DE30DC">
      <w:pPr>
        <w:pStyle w:val="FootnoteText"/>
        <w:rPr>
          <w:lang w:val="pl-PL"/>
        </w:rPr>
      </w:pPr>
      <w:r>
        <w:rPr>
          <w:rStyle w:val="FootnoteReference"/>
        </w:rPr>
        <w:footnoteRef/>
      </w:r>
      <w:r w:rsidRPr="00CB0F9D">
        <w:rPr>
          <w:lang w:val="pl-PL"/>
        </w:rPr>
        <w:t xml:space="preserve"> </w:t>
      </w:r>
      <w:r>
        <w:rPr>
          <w:lang w:val="pl-PL"/>
        </w:rPr>
        <w:t>Khoản 2 Điều 15 Luật Báo chí năm 2016.</w:t>
      </w:r>
    </w:p>
  </w:footnote>
  <w:footnote w:id="16">
    <w:p w:rsidR="00DE30DC" w:rsidRPr="003142C5" w:rsidRDefault="00DE30DC" w:rsidP="00DE30DC">
      <w:pPr>
        <w:pStyle w:val="FootnoteText"/>
        <w:rPr>
          <w:lang w:val="pl-PL"/>
        </w:rPr>
      </w:pPr>
      <w:r w:rsidRPr="00997239">
        <w:rPr>
          <w:rStyle w:val="FootnoteReference"/>
        </w:rPr>
        <w:footnoteRef/>
      </w:r>
      <w:r w:rsidRPr="00997239">
        <w:rPr>
          <w:lang w:val="pl-PL"/>
        </w:rPr>
        <w:t xml:space="preserve"> Bắt đầu từ năm 2021, đưa vào Chương trình giảng dạy của Học viện Tư pháp với thời lượng 5 ngày/khóa học.</w:t>
      </w:r>
    </w:p>
  </w:footnote>
  <w:footnote w:id="17">
    <w:p w:rsidR="00DE30DC" w:rsidRPr="00993B8C" w:rsidRDefault="00DE30DC" w:rsidP="00DE30DC">
      <w:pPr>
        <w:pStyle w:val="FootnoteText"/>
        <w:rPr>
          <w:lang w:val="pl-PL"/>
        </w:rPr>
      </w:pPr>
      <w:r>
        <w:rPr>
          <w:rStyle w:val="FootnoteReference"/>
        </w:rPr>
        <w:footnoteRef/>
      </w:r>
      <w:r w:rsidRPr="00993B8C">
        <w:rPr>
          <w:lang w:val="pl-PL"/>
        </w:rPr>
        <w:t xml:space="preserve"> </w:t>
      </w:r>
      <w:r w:rsidRPr="00997239">
        <w:rPr>
          <w:spacing w:val="-6"/>
          <w:lang w:val="pl-PL"/>
        </w:rPr>
        <w:t>Từ năm 2018 đã tổ chức tuyển sinh Văn bẳng 2 cho người làm công tác pháp chế chưa có trình độ cử nhân Luật.</w:t>
      </w:r>
      <w:r w:rsidRPr="00993B8C">
        <w:rPr>
          <w:lang w:val="pl-PL"/>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9019248"/>
      <w:docPartObj>
        <w:docPartGallery w:val="Page Numbers (Top of Page)"/>
        <w:docPartUnique/>
      </w:docPartObj>
    </w:sdtPr>
    <w:sdtEndPr>
      <w:rPr>
        <w:noProof/>
      </w:rPr>
    </w:sdtEndPr>
    <w:sdtContent>
      <w:p w:rsidR="00E16BD4" w:rsidRDefault="003D1FE3">
        <w:pPr>
          <w:pStyle w:val="Header"/>
          <w:jc w:val="center"/>
        </w:pPr>
        <w:r>
          <w:fldChar w:fldCharType="begin"/>
        </w:r>
        <w:r>
          <w:instrText xml:space="preserve"> PAGE   \* MERGEFORMAT </w:instrText>
        </w:r>
        <w:r>
          <w:fldChar w:fldCharType="separate"/>
        </w:r>
        <w:r w:rsidR="008F034A">
          <w:rPr>
            <w:noProof/>
          </w:rPr>
          <w:t>4</w:t>
        </w:r>
        <w:r>
          <w:rPr>
            <w:noProof/>
          </w:rPr>
          <w:fldChar w:fldCharType="end"/>
        </w:r>
      </w:p>
    </w:sdtContent>
  </w:sdt>
  <w:p w:rsidR="00203715" w:rsidRDefault="00DE56F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F0A42"/>
    <w:multiLevelType w:val="hybridMultilevel"/>
    <w:tmpl w:val="B01819F8"/>
    <w:lvl w:ilvl="0" w:tplc="91724A3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02E21E2"/>
    <w:multiLevelType w:val="hybridMultilevel"/>
    <w:tmpl w:val="C7D02E5E"/>
    <w:lvl w:ilvl="0" w:tplc="A830D88A">
      <w:start w:val="2"/>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0DC"/>
    <w:rsid w:val="00286701"/>
    <w:rsid w:val="003543AF"/>
    <w:rsid w:val="003C2F5D"/>
    <w:rsid w:val="003D1FE3"/>
    <w:rsid w:val="00534E2C"/>
    <w:rsid w:val="005B3CF7"/>
    <w:rsid w:val="005F7873"/>
    <w:rsid w:val="006B25DA"/>
    <w:rsid w:val="0074292C"/>
    <w:rsid w:val="00751F8E"/>
    <w:rsid w:val="00873512"/>
    <w:rsid w:val="008F034A"/>
    <w:rsid w:val="009877F4"/>
    <w:rsid w:val="00A03946"/>
    <w:rsid w:val="00A5160D"/>
    <w:rsid w:val="00AA58B3"/>
    <w:rsid w:val="00AC105D"/>
    <w:rsid w:val="00C152B6"/>
    <w:rsid w:val="00CE35A5"/>
    <w:rsid w:val="00CF31CC"/>
    <w:rsid w:val="00DE30DC"/>
    <w:rsid w:val="00DE56FA"/>
    <w:rsid w:val="00E30EC6"/>
    <w:rsid w:val="00E8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84DD4"/>
  <w15:docId w15:val="{B83F7493-394B-4F0D-A8A4-D1E07F1C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0D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DE30DC"/>
    <w:pPr>
      <w:spacing w:before="100" w:beforeAutospacing="1" w:after="100" w:afterAutospacing="1"/>
    </w:pPr>
  </w:style>
  <w:style w:type="paragraph" w:styleId="Footer">
    <w:name w:val="footer"/>
    <w:basedOn w:val="Normal"/>
    <w:link w:val="FooterChar"/>
    <w:rsid w:val="00DE30DC"/>
    <w:pPr>
      <w:tabs>
        <w:tab w:val="center" w:pos="4320"/>
        <w:tab w:val="right" w:pos="8640"/>
      </w:tabs>
    </w:pPr>
  </w:style>
  <w:style w:type="character" w:customStyle="1" w:styleId="FooterChar">
    <w:name w:val="Footer Char"/>
    <w:basedOn w:val="DefaultParagraphFont"/>
    <w:link w:val="Footer"/>
    <w:rsid w:val="00DE30DC"/>
    <w:rPr>
      <w:rFonts w:ascii="Times New Roman" w:eastAsia="Times New Roman" w:hAnsi="Times New Roman" w:cs="Times New Roman"/>
      <w:sz w:val="24"/>
      <w:szCs w:val="24"/>
    </w:rPr>
  </w:style>
  <w:style w:type="character" w:styleId="PageNumber">
    <w:name w:val="page number"/>
    <w:basedOn w:val="DefaultParagraphFont"/>
    <w:rsid w:val="00DE30DC"/>
  </w:style>
  <w:style w:type="character" w:customStyle="1" w:styleId="NormalWebChar">
    <w:name w:val="Normal (Web) Char"/>
    <w:link w:val="NormalWeb"/>
    <w:locked/>
    <w:rsid w:val="00DE30DC"/>
    <w:rPr>
      <w:rFonts w:ascii="Times New Roman" w:eastAsia="Times New Roman" w:hAnsi="Times New Roman" w:cs="Times New Roman"/>
      <w:sz w:val="24"/>
      <w:szCs w:val="24"/>
    </w:rPr>
  </w:style>
  <w:style w:type="paragraph" w:styleId="BodyTextIndent">
    <w:name w:val="Body Text Indent"/>
    <w:basedOn w:val="Normal"/>
    <w:link w:val="BodyTextIndentChar"/>
    <w:rsid w:val="00DE30DC"/>
    <w:pPr>
      <w:spacing w:before="120"/>
      <w:ind w:firstLine="720"/>
      <w:jc w:val="both"/>
    </w:pPr>
    <w:rPr>
      <w:bCs/>
      <w:spacing w:val="6"/>
      <w:sz w:val="28"/>
      <w:szCs w:val="26"/>
    </w:rPr>
  </w:style>
  <w:style w:type="character" w:customStyle="1" w:styleId="BodyTextIndentChar">
    <w:name w:val="Body Text Indent Char"/>
    <w:basedOn w:val="DefaultParagraphFont"/>
    <w:link w:val="BodyTextIndent"/>
    <w:rsid w:val="00DE30DC"/>
    <w:rPr>
      <w:rFonts w:ascii="Times New Roman" w:eastAsia="Times New Roman" w:hAnsi="Times New Roman" w:cs="Times New Roman"/>
      <w:bCs/>
      <w:spacing w:val="6"/>
      <w:sz w:val="28"/>
      <w:szCs w:val="26"/>
    </w:rPr>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single space,fn"/>
    <w:basedOn w:val="Normal"/>
    <w:link w:val="FootnoteTextChar"/>
    <w:qFormat/>
    <w:rsid w:val="00DE30DC"/>
    <w:rPr>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single space Char,fn Char"/>
    <w:basedOn w:val="DefaultParagraphFont"/>
    <w:link w:val="FootnoteText"/>
    <w:rsid w:val="00DE30DC"/>
    <w:rPr>
      <w:rFonts w:ascii="Times New Roman" w:eastAsia="Times New Roman" w:hAnsi="Times New Roman" w:cs="Times New Roman"/>
      <w:sz w:val="20"/>
      <w:szCs w:val="20"/>
    </w:rPr>
  </w:style>
  <w:style w:type="character" w:styleId="FootnoteReference">
    <w:name w:val="footnote reference"/>
    <w:aliases w:val="Footnote,Ref,de nota al pie,Footnote text + 13 pt,Footnote text,ftref,Footnote Text1,BearingPoint,16 Point,Superscript 6 Point,fr,Footnote Text Char Char Char Char Char Char Ch Char Char Char Char Char Char C,Footnote + Arial,10 pt,4_"/>
    <w:basedOn w:val="DefaultParagraphFont"/>
    <w:uiPriority w:val="99"/>
    <w:qFormat/>
    <w:rsid w:val="00DE30DC"/>
    <w:rPr>
      <w:vertAlign w:val="superscript"/>
    </w:rPr>
  </w:style>
  <w:style w:type="paragraph" w:customStyle="1" w:styleId="abc">
    <w:name w:val="abc"/>
    <w:basedOn w:val="Normal"/>
    <w:rsid w:val="00DE30DC"/>
    <w:pPr>
      <w:spacing w:line="280" w:lineRule="atLeast"/>
      <w:jc w:val="both"/>
    </w:pPr>
    <w:rPr>
      <w:rFonts w:ascii=".VnTime" w:eastAsia="MS Mincho" w:hAnsi=".VnTime"/>
      <w:szCs w:val="20"/>
    </w:rPr>
  </w:style>
  <w:style w:type="paragraph" w:styleId="Header">
    <w:name w:val="header"/>
    <w:basedOn w:val="Normal"/>
    <w:link w:val="HeaderChar"/>
    <w:uiPriority w:val="99"/>
    <w:unhideWhenUsed/>
    <w:rsid w:val="00DE30DC"/>
    <w:pPr>
      <w:tabs>
        <w:tab w:val="center" w:pos="4680"/>
        <w:tab w:val="right" w:pos="9360"/>
      </w:tabs>
    </w:pPr>
  </w:style>
  <w:style w:type="character" w:customStyle="1" w:styleId="HeaderChar">
    <w:name w:val="Header Char"/>
    <w:basedOn w:val="DefaultParagraphFont"/>
    <w:link w:val="Header"/>
    <w:uiPriority w:val="99"/>
    <w:rsid w:val="00DE30DC"/>
    <w:rPr>
      <w:rFonts w:ascii="Times New Roman" w:eastAsia="Times New Roman" w:hAnsi="Times New Roman" w:cs="Times New Roman"/>
      <w:sz w:val="24"/>
      <w:szCs w:val="24"/>
    </w:rPr>
  </w:style>
  <w:style w:type="paragraph" w:styleId="ListParagraph">
    <w:name w:val="List Paragraph"/>
    <w:basedOn w:val="Normal"/>
    <w:uiPriority w:val="34"/>
    <w:qFormat/>
    <w:rsid w:val="00DE30DC"/>
    <w:pPr>
      <w:ind w:left="720"/>
      <w:contextualSpacing/>
    </w:pPr>
  </w:style>
  <w:style w:type="character" w:customStyle="1" w:styleId="colorblack">
    <w:name w:val="colorblack"/>
    <w:basedOn w:val="DefaultParagraphFont"/>
    <w:rsid w:val="00DE30DC"/>
  </w:style>
  <w:style w:type="paragraph" w:styleId="BodyText">
    <w:name w:val="Body Text"/>
    <w:basedOn w:val="Normal"/>
    <w:link w:val="BodyTextChar"/>
    <w:uiPriority w:val="99"/>
    <w:rsid w:val="00534E2C"/>
    <w:pPr>
      <w:jc w:val="both"/>
    </w:pPr>
    <w:rPr>
      <w:rFonts w:ascii=".VnTime" w:eastAsia="Calibri" w:hAnsi=".VnTime"/>
      <w:lang w:eastAsia="ja-JP"/>
    </w:rPr>
  </w:style>
  <w:style w:type="character" w:customStyle="1" w:styleId="BodyTextChar">
    <w:name w:val="Body Text Char"/>
    <w:basedOn w:val="DefaultParagraphFont"/>
    <w:link w:val="BodyText"/>
    <w:uiPriority w:val="99"/>
    <w:rsid w:val="00534E2C"/>
    <w:rPr>
      <w:rFonts w:ascii=".VnTime" w:eastAsia="Calibri" w:hAnsi=".VnTime"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370AF-71C1-4408-85E1-81E3D17A3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2022-03-15T09:13:00Z</dcterms:created>
  <dcterms:modified xsi:type="dcterms:W3CDTF">2022-03-25T03:36:00Z</dcterms:modified>
</cp:coreProperties>
</file>