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825"/>
      </w:tblGrid>
      <w:tr w:rsidR="009E0658" w:rsidRPr="00801BA7" w:rsidTr="00B43BA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E0658" w:rsidRPr="00801BA7" w:rsidRDefault="00ED601E" w:rsidP="00781150">
            <w:pPr>
              <w:spacing w:before="120"/>
              <w:jc w:val="center"/>
              <w:rPr>
                <w:sz w:val="26"/>
                <w:szCs w:val="26"/>
              </w:rPr>
            </w:pPr>
            <w:r w:rsidRPr="00801BA7">
              <w:rPr>
                <w:b/>
                <w:bCs/>
                <w:noProof/>
                <w:sz w:val="26"/>
                <w:szCs w:val="26"/>
              </w:rPr>
              <mc:AlternateContent>
                <mc:Choice Requires="wps">
                  <w:drawing>
                    <wp:anchor distT="0" distB="0" distL="114300" distR="114300" simplePos="0" relativeHeight="251656704" behindDoc="0" locked="0" layoutInCell="1" allowOverlap="1" wp14:anchorId="30EFD503" wp14:editId="7BCB9845">
                      <wp:simplePos x="0" y="0"/>
                      <wp:positionH relativeFrom="column">
                        <wp:posOffset>722299</wp:posOffset>
                      </wp:positionH>
                      <wp:positionV relativeFrom="paragraph">
                        <wp:posOffset>478155</wp:posOffset>
                      </wp:positionV>
                      <wp:extent cx="5715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DB72" id="_x0000_t32" coordsize="21600,21600" o:spt="32" o:oned="t" path="m,l21600,21600e" filled="f">
                      <v:path arrowok="t" fillok="f" o:connecttype="none"/>
                      <o:lock v:ext="edit" shapetype="t"/>
                    </v:shapetype>
                    <v:shape id="AutoShape 2" o:spid="_x0000_s1026" type="#_x0000_t32" style="position:absolute;margin-left:56.85pt;margin-top:37.65pt;width: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Cl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6eP2TQF4e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"/>
                  </w:pict>
                </mc:Fallback>
              </mc:AlternateContent>
            </w:r>
            <w:r w:rsidR="009E0658" w:rsidRPr="00801BA7">
              <w:rPr>
                <w:b/>
                <w:bCs/>
                <w:sz w:val="26"/>
                <w:szCs w:val="26"/>
              </w:rPr>
              <w:t>ỦY BAN NHÂN DÂN</w:t>
            </w:r>
            <w:r w:rsidR="009E0658" w:rsidRPr="00801BA7">
              <w:rPr>
                <w:sz w:val="26"/>
                <w:szCs w:val="26"/>
              </w:rPr>
              <w:br/>
            </w:r>
            <w:r w:rsidR="009E0658" w:rsidRPr="00801BA7">
              <w:rPr>
                <w:b/>
                <w:bCs/>
                <w:sz w:val="26"/>
                <w:szCs w:val="26"/>
              </w:rPr>
              <w:t>TỈNH HÀ TĨNH</w:t>
            </w:r>
            <w:r w:rsidR="009E0658" w:rsidRPr="00801BA7">
              <w:rPr>
                <w:b/>
                <w:bCs/>
                <w:sz w:val="26"/>
                <w:szCs w:val="26"/>
              </w:rPr>
              <w:br/>
            </w:r>
          </w:p>
        </w:tc>
        <w:tc>
          <w:tcPr>
            <w:tcW w:w="6825" w:type="dxa"/>
            <w:tcBorders>
              <w:top w:val="nil"/>
              <w:left w:val="nil"/>
              <w:bottom w:val="nil"/>
              <w:right w:val="nil"/>
              <w:tl2br w:val="nil"/>
              <w:tr2bl w:val="nil"/>
            </w:tcBorders>
            <w:shd w:val="clear" w:color="auto" w:fill="auto"/>
            <w:tcMar>
              <w:top w:w="0" w:type="dxa"/>
              <w:left w:w="108" w:type="dxa"/>
              <w:bottom w:w="0" w:type="dxa"/>
              <w:right w:w="108" w:type="dxa"/>
            </w:tcMar>
          </w:tcPr>
          <w:p w:rsidR="009E0658" w:rsidRPr="00801BA7" w:rsidRDefault="00ED601E" w:rsidP="00781150">
            <w:pPr>
              <w:spacing w:before="120"/>
              <w:jc w:val="center"/>
              <w:rPr>
                <w:sz w:val="26"/>
                <w:szCs w:val="26"/>
              </w:rPr>
            </w:pPr>
            <w:r w:rsidRPr="00801BA7">
              <w:rPr>
                <w:b/>
                <w:bCs/>
                <w:noProof/>
                <w:sz w:val="26"/>
                <w:szCs w:val="26"/>
              </w:rPr>
              <mc:AlternateContent>
                <mc:Choice Requires="wps">
                  <w:drawing>
                    <wp:anchor distT="0" distB="0" distL="114300" distR="114300" simplePos="0" relativeHeight="251657728" behindDoc="0" locked="0" layoutInCell="1" allowOverlap="1" wp14:anchorId="4C9D9A82" wp14:editId="553D486A">
                      <wp:simplePos x="0" y="0"/>
                      <wp:positionH relativeFrom="column">
                        <wp:posOffset>1213816</wp:posOffset>
                      </wp:positionH>
                      <wp:positionV relativeFrom="paragraph">
                        <wp:posOffset>497205</wp:posOffset>
                      </wp:positionV>
                      <wp:extent cx="18192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6FF52" id="AutoShape 3" o:spid="_x0000_s1026" type="#_x0000_t32" style="position:absolute;margin-left:95.6pt;margin-top:39.15pt;width:14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m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CySZfo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"/>
                  </w:pict>
                </mc:Fallback>
              </mc:AlternateContent>
            </w:r>
            <w:r w:rsidR="009E0658" w:rsidRPr="00801BA7">
              <w:rPr>
                <w:b/>
                <w:bCs/>
                <w:sz w:val="26"/>
                <w:szCs w:val="26"/>
              </w:rPr>
              <w:t>CỘNG HÒA XÃ HỘI CHỦ NGHĨA VIỆT NAM</w:t>
            </w:r>
            <w:r w:rsidR="009E0658" w:rsidRPr="00801BA7">
              <w:rPr>
                <w:b/>
                <w:bCs/>
                <w:sz w:val="26"/>
                <w:szCs w:val="26"/>
              </w:rPr>
              <w:br/>
              <w:t xml:space="preserve">Độc lập - Tự do - Hạnh phúc </w:t>
            </w:r>
            <w:r w:rsidR="009E0658" w:rsidRPr="00801BA7">
              <w:rPr>
                <w:b/>
                <w:bCs/>
                <w:sz w:val="26"/>
                <w:szCs w:val="26"/>
              </w:rPr>
              <w:br/>
            </w:r>
          </w:p>
        </w:tc>
      </w:tr>
      <w:tr w:rsidR="009E0658" w:rsidRPr="00801BA7" w:rsidTr="00B43BA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E0658" w:rsidRPr="00801BA7" w:rsidRDefault="009E0658" w:rsidP="00781150">
            <w:pPr>
              <w:spacing w:before="120"/>
              <w:jc w:val="center"/>
              <w:rPr>
                <w:sz w:val="26"/>
                <w:szCs w:val="26"/>
              </w:rPr>
            </w:pPr>
            <w:r w:rsidRPr="00801BA7">
              <w:rPr>
                <w:sz w:val="26"/>
                <w:szCs w:val="26"/>
              </w:rPr>
              <w:t xml:space="preserve">Số: </w:t>
            </w:r>
            <w:r w:rsidR="00014124">
              <w:rPr>
                <w:sz w:val="26"/>
                <w:szCs w:val="26"/>
              </w:rPr>
              <w:t>24</w:t>
            </w:r>
            <w:r w:rsidRPr="00801BA7">
              <w:rPr>
                <w:sz w:val="26"/>
                <w:szCs w:val="26"/>
              </w:rPr>
              <w:t>/202</w:t>
            </w:r>
            <w:r w:rsidR="00781150" w:rsidRPr="00801BA7">
              <w:rPr>
                <w:sz w:val="26"/>
                <w:szCs w:val="26"/>
              </w:rPr>
              <w:t>2</w:t>
            </w:r>
            <w:r w:rsidRPr="00801BA7">
              <w:rPr>
                <w:sz w:val="26"/>
                <w:szCs w:val="26"/>
              </w:rPr>
              <w:t>/QĐ-UBND</w:t>
            </w:r>
          </w:p>
        </w:tc>
        <w:tc>
          <w:tcPr>
            <w:tcW w:w="6825" w:type="dxa"/>
            <w:tcBorders>
              <w:top w:val="nil"/>
              <w:left w:val="nil"/>
              <w:bottom w:val="nil"/>
              <w:right w:val="nil"/>
              <w:tl2br w:val="nil"/>
              <w:tr2bl w:val="nil"/>
            </w:tcBorders>
            <w:shd w:val="clear" w:color="auto" w:fill="auto"/>
            <w:tcMar>
              <w:top w:w="0" w:type="dxa"/>
              <w:left w:w="108" w:type="dxa"/>
              <w:bottom w:w="0" w:type="dxa"/>
              <w:right w:w="108" w:type="dxa"/>
            </w:tcMar>
          </w:tcPr>
          <w:p w:rsidR="009E0658" w:rsidRPr="00801BA7" w:rsidRDefault="009E6C2E" w:rsidP="00801BA7">
            <w:pPr>
              <w:spacing w:before="120"/>
              <w:jc w:val="center"/>
              <w:rPr>
                <w:sz w:val="26"/>
                <w:szCs w:val="26"/>
              </w:rPr>
            </w:pPr>
            <w:r w:rsidRPr="00801BA7">
              <w:rPr>
                <w:i/>
                <w:iCs/>
                <w:sz w:val="26"/>
                <w:szCs w:val="26"/>
              </w:rPr>
              <w:t xml:space="preserve">                    </w:t>
            </w:r>
            <w:r w:rsidR="009E0658" w:rsidRPr="00801BA7">
              <w:rPr>
                <w:i/>
                <w:iCs/>
                <w:sz w:val="26"/>
                <w:szCs w:val="26"/>
              </w:rPr>
              <w:t>Hà Tĩnh, ngày</w:t>
            </w:r>
            <w:r w:rsidR="00014124">
              <w:rPr>
                <w:i/>
                <w:iCs/>
                <w:sz w:val="26"/>
                <w:szCs w:val="26"/>
              </w:rPr>
              <w:t xml:space="preserve"> 26 </w:t>
            </w:r>
            <w:r w:rsidR="004F0485" w:rsidRPr="00801BA7">
              <w:rPr>
                <w:i/>
                <w:iCs/>
                <w:sz w:val="26"/>
                <w:szCs w:val="26"/>
              </w:rPr>
              <w:t>tháng</w:t>
            </w:r>
            <w:r w:rsidR="00014124">
              <w:rPr>
                <w:i/>
                <w:iCs/>
                <w:sz w:val="26"/>
                <w:szCs w:val="26"/>
              </w:rPr>
              <w:t xml:space="preserve"> 8 </w:t>
            </w:r>
            <w:bookmarkStart w:id="0" w:name="_GoBack"/>
            <w:bookmarkEnd w:id="0"/>
            <w:r w:rsidR="009E0658" w:rsidRPr="00801BA7">
              <w:rPr>
                <w:i/>
                <w:iCs/>
                <w:sz w:val="26"/>
                <w:szCs w:val="26"/>
              </w:rPr>
              <w:t>năm 202</w:t>
            </w:r>
            <w:r w:rsidR="00781150" w:rsidRPr="00801BA7">
              <w:rPr>
                <w:i/>
                <w:iCs/>
                <w:sz w:val="26"/>
                <w:szCs w:val="26"/>
              </w:rPr>
              <w:t>2</w:t>
            </w:r>
          </w:p>
        </w:tc>
      </w:tr>
    </w:tbl>
    <w:p w:rsidR="00A64231" w:rsidRPr="00A64231" w:rsidRDefault="00A64231" w:rsidP="00B43BAE">
      <w:pPr>
        <w:jc w:val="center"/>
        <w:rPr>
          <w:b/>
          <w:bCs/>
          <w:sz w:val="20"/>
          <w:szCs w:val="28"/>
        </w:rPr>
      </w:pPr>
      <w:bookmarkStart w:id="1" w:name="loai_1"/>
    </w:p>
    <w:p w:rsidR="00A64231" w:rsidRPr="00A64231" w:rsidRDefault="00A64231" w:rsidP="00B43BAE">
      <w:pPr>
        <w:jc w:val="center"/>
        <w:rPr>
          <w:b/>
          <w:bCs/>
          <w:sz w:val="20"/>
          <w:szCs w:val="28"/>
        </w:rPr>
      </w:pPr>
    </w:p>
    <w:p w:rsidR="009E0658" w:rsidRPr="00F3470A" w:rsidRDefault="009E0658" w:rsidP="00B43BAE">
      <w:pPr>
        <w:jc w:val="center"/>
        <w:rPr>
          <w:sz w:val="28"/>
          <w:szCs w:val="28"/>
        </w:rPr>
      </w:pPr>
      <w:r w:rsidRPr="00F3470A">
        <w:rPr>
          <w:b/>
          <w:bCs/>
          <w:sz w:val="28"/>
          <w:szCs w:val="28"/>
        </w:rPr>
        <w:t>QUYẾT ĐỊNH</w:t>
      </w:r>
      <w:bookmarkEnd w:id="1"/>
    </w:p>
    <w:p w:rsidR="009E0658" w:rsidRPr="00F3470A" w:rsidRDefault="00801BA7" w:rsidP="00B43BAE">
      <w:pPr>
        <w:jc w:val="center"/>
        <w:rPr>
          <w:b/>
          <w:sz w:val="28"/>
          <w:szCs w:val="28"/>
        </w:rPr>
      </w:pPr>
      <w:bookmarkStart w:id="2" w:name="loai_1_name"/>
      <w:r>
        <w:rPr>
          <w:b/>
          <w:sz w:val="28"/>
          <w:szCs w:val="28"/>
        </w:rPr>
        <w:t>Về việc ủy</w:t>
      </w:r>
      <w:r w:rsidR="00D10446" w:rsidRPr="00F3470A">
        <w:rPr>
          <w:b/>
          <w:sz w:val="28"/>
          <w:szCs w:val="28"/>
        </w:rPr>
        <w:t xml:space="preserve"> quyền </w:t>
      </w:r>
      <w:r w:rsidR="000A3BA9" w:rsidRPr="00F3470A">
        <w:rPr>
          <w:b/>
          <w:sz w:val="28"/>
          <w:szCs w:val="28"/>
        </w:rPr>
        <w:t>quyết định</w:t>
      </w:r>
      <w:r w:rsidR="00781150" w:rsidRPr="00F3470A">
        <w:rPr>
          <w:b/>
          <w:sz w:val="28"/>
          <w:szCs w:val="28"/>
        </w:rPr>
        <w:t xml:space="preserve"> giá đất cụ thể trên địa bàn tỉnh Hà Tĩnh</w:t>
      </w:r>
      <w:bookmarkEnd w:id="2"/>
    </w:p>
    <w:p w:rsidR="007C6D5C" w:rsidRPr="00F3470A" w:rsidRDefault="00ED601E" w:rsidP="00012851">
      <w:pPr>
        <w:spacing w:after="100" w:afterAutospacing="1"/>
        <w:jc w:val="center"/>
        <w:rPr>
          <w:b/>
          <w:bCs/>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2127885</wp:posOffset>
                </wp:positionH>
                <wp:positionV relativeFrom="paragraph">
                  <wp:posOffset>13004</wp:posOffset>
                </wp:positionV>
                <wp:extent cx="164782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BCDD6" id="AutoShape 4" o:spid="_x0000_s1026" type="#_x0000_t32" style="position:absolute;margin-left:167.55pt;margin-top:1pt;width:12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JE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vn94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"/>
            </w:pict>
          </mc:Fallback>
        </mc:AlternateContent>
      </w:r>
    </w:p>
    <w:p w:rsidR="009E0658" w:rsidRPr="00F3470A" w:rsidRDefault="009E0658" w:rsidP="00B43BAE">
      <w:pPr>
        <w:spacing w:before="120" w:after="280" w:afterAutospacing="1"/>
        <w:jc w:val="center"/>
        <w:rPr>
          <w:sz w:val="28"/>
          <w:szCs w:val="28"/>
        </w:rPr>
      </w:pPr>
      <w:r w:rsidRPr="00F3470A">
        <w:rPr>
          <w:b/>
          <w:bCs/>
          <w:sz w:val="28"/>
          <w:szCs w:val="28"/>
        </w:rPr>
        <w:t>ỦY BAN NHÂN DÂN TỈNH</w:t>
      </w:r>
    </w:p>
    <w:p w:rsidR="009E0658" w:rsidRPr="00A64231" w:rsidRDefault="009E0658" w:rsidP="004F0485">
      <w:pPr>
        <w:spacing w:before="120"/>
        <w:ind w:firstLine="720"/>
        <w:jc w:val="both"/>
        <w:rPr>
          <w:spacing w:val="-8"/>
          <w:sz w:val="28"/>
          <w:szCs w:val="28"/>
        </w:rPr>
      </w:pPr>
      <w:r w:rsidRPr="00A64231">
        <w:rPr>
          <w:i/>
          <w:iCs/>
          <w:spacing w:val="-8"/>
          <w:sz w:val="28"/>
          <w:szCs w:val="28"/>
        </w:rPr>
        <w:t>Căn cứ Luật Tổ chức chính quyền địa phương ngày 19/6/2015; Luật</w:t>
      </w:r>
      <w:r w:rsidR="00801BA7" w:rsidRPr="00A64231">
        <w:rPr>
          <w:i/>
          <w:iCs/>
          <w:spacing w:val="-8"/>
          <w:sz w:val="28"/>
          <w:szCs w:val="28"/>
        </w:rPr>
        <w:t xml:space="preserve"> s</w:t>
      </w:r>
      <w:r w:rsidRPr="00A64231">
        <w:rPr>
          <w:i/>
          <w:iCs/>
          <w:spacing w:val="-8"/>
          <w:sz w:val="28"/>
          <w:szCs w:val="28"/>
        </w:rPr>
        <w:t>ửa đổi, bổ sung một số điều của Luật Tổ chức Chính phủ và Luật Tổ chức chính quyền địa phương;</w:t>
      </w:r>
    </w:p>
    <w:p w:rsidR="009E0658" w:rsidRPr="00F3470A" w:rsidRDefault="009E0658" w:rsidP="004F0485">
      <w:pPr>
        <w:spacing w:before="120"/>
        <w:ind w:firstLine="720"/>
        <w:jc w:val="both"/>
        <w:rPr>
          <w:sz w:val="28"/>
          <w:szCs w:val="28"/>
        </w:rPr>
      </w:pPr>
      <w:r w:rsidRPr="00F3470A">
        <w:rPr>
          <w:i/>
          <w:iCs/>
          <w:sz w:val="28"/>
          <w:szCs w:val="28"/>
        </w:rPr>
        <w:t xml:space="preserve">Căn cứ Luật Ban hành văn bản quy phạm pháp luật ngày 26/6/2015; Luật </w:t>
      </w:r>
      <w:r w:rsidR="00801BA7">
        <w:rPr>
          <w:i/>
          <w:iCs/>
          <w:sz w:val="28"/>
          <w:szCs w:val="28"/>
        </w:rPr>
        <w:t>s</w:t>
      </w:r>
      <w:r w:rsidRPr="00F3470A">
        <w:rPr>
          <w:i/>
          <w:iCs/>
          <w:sz w:val="28"/>
          <w:szCs w:val="28"/>
        </w:rPr>
        <w:t xml:space="preserve">ửa đổi, bổ sung một số điều của </w:t>
      </w:r>
      <w:r w:rsidR="00801BA7">
        <w:rPr>
          <w:i/>
          <w:iCs/>
          <w:sz w:val="28"/>
          <w:szCs w:val="28"/>
          <w:bdr w:val="none" w:sz="0" w:space="0" w:color="auto" w:frame="1"/>
        </w:rPr>
        <w:t>Luật Ban hành văn bản quy phạm pháp luật ngày 18/6/2020;</w:t>
      </w:r>
    </w:p>
    <w:p w:rsidR="009E0658" w:rsidRPr="00F3470A" w:rsidRDefault="009E0658" w:rsidP="004F0485">
      <w:pPr>
        <w:spacing w:before="120"/>
        <w:ind w:firstLine="720"/>
        <w:jc w:val="both"/>
        <w:rPr>
          <w:sz w:val="28"/>
          <w:szCs w:val="28"/>
        </w:rPr>
      </w:pPr>
      <w:r w:rsidRPr="00F3470A">
        <w:rPr>
          <w:i/>
          <w:iCs/>
          <w:sz w:val="28"/>
          <w:szCs w:val="28"/>
        </w:rPr>
        <w:t>Căn cứ Luật Đất đai ngày 29/11/2013;</w:t>
      </w:r>
    </w:p>
    <w:p w:rsidR="009E0658" w:rsidRPr="00F3470A" w:rsidRDefault="009E0658" w:rsidP="004F0485">
      <w:pPr>
        <w:spacing w:before="120"/>
        <w:ind w:firstLine="720"/>
        <w:jc w:val="both"/>
        <w:rPr>
          <w:sz w:val="28"/>
          <w:szCs w:val="28"/>
        </w:rPr>
      </w:pPr>
      <w:r w:rsidRPr="00F3470A">
        <w:rPr>
          <w:i/>
          <w:iCs/>
          <w:sz w:val="28"/>
          <w:szCs w:val="28"/>
        </w:rPr>
        <w:t>Căn cứ các Nghị định của Chính phủ: Số 43/2014/NĐ-CP ngày 15/5/2014 quy định chi tiết thi hành một số điều của Luật Đất đai, số 44/2014/NĐ- CP ngày 15/5/2014 quy định về giá đất,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123/2017/NĐ-CP ngày 14/11/2017 sửa đổi, bổ sung một số điều của các nghị định quy định về thu tiền sử dụng đất, thu tiền thuê đất, thuê mặt nước;</w:t>
      </w:r>
    </w:p>
    <w:p w:rsidR="009E0658" w:rsidRPr="00F3470A" w:rsidRDefault="009E0658" w:rsidP="004F0485">
      <w:pPr>
        <w:spacing w:before="120"/>
        <w:ind w:firstLine="720"/>
        <w:jc w:val="both"/>
        <w:rPr>
          <w:sz w:val="28"/>
          <w:szCs w:val="28"/>
        </w:rPr>
      </w:pPr>
      <w:r w:rsidRPr="00F3470A">
        <w:rPr>
          <w:i/>
          <w:iCs/>
          <w:sz w:val="28"/>
          <w:szCs w:val="28"/>
        </w:rPr>
        <w:t>Căn cứ các Thông tư của Bộ Tài nguyên và Môi trường: Số 36/2014/TT- BTNMT ngày 30/6/2014 quy định chi tiết phương pháp định giá đất, xây dựng, điều chỉnh bảng giá đất, định giá đất cụ thể và tư vấn xác định giá đất, số 33/2017/TT-BTNMT ngày 29/9/2017 quy định chi tiết Nghị định số 01/2017/NĐ-CP ngày 06/01/2017 của Chính phủ;</w:t>
      </w:r>
    </w:p>
    <w:p w:rsidR="009E0658" w:rsidRPr="00F3470A" w:rsidRDefault="009E0658" w:rsidP="004F0485">
      <w:pPr>
        <w:spacing w:before="120"/>
        <w:ind w:firstLine="720"/>
        <w:jc w:val="both"/>
        <w:rPr>
          <w:sz w:val="28"/>
          <w:szCs w:val="28"/>
        </w:rPr>
      </w:pPr>
      <w:r w:rsidRPr="00F3470A">
        <w:rPr>
          <w:i/>
          <w:iCs/>
          <w:sz w:val="28"/>
          <w:szCs w:val="28"/>
        </w:rPr>
        <w:t>Căn cứ các Thông tư của Bộ Tài chính: Số 76/2014/TT-BTC ngày 16/6/2014 hướng dẫn một số điều của Nghị định số 45/2014/NĐ-CP ngày 15/5/2014 của Chính phủ, số 77/2014/TT-BTC ngày 16/6/2014 hướng dẫn một số điều của Nghị định số 46/2014/NĐ-CP ngày 15/5/2014 của Chính phủ, số 332/2016/TT-BTC ngày 26/12/2016 sửa đổi, bổ sung một số điều của Thông tư số 76/2014/TT-BTC ngày 16/6/2014, số 333/2016/TT-BTC ngày 26/12/2016 sửa đổi, bổ sung một số điều của Thông tư số 77/2014/TT-BTC ngày 16/6/2014;</w:t>
      </w:r>
    </w:p>
    <w:p w:rsidR="009E0658" w:rsidRPr="00F3470A" w:rsidRDefault="009E0658" w:rsidP="004F0485">
      <w:pPr>
        <w:spacing w:before="120"/>
        <w:ind w:firstLine="720"/>
        <w:jc w:val="both"/>
        <w:rPr>
          <w:sz w:val="28"/>
          <w:szCs w:val="28"/>
        </w:rPr>
      </w:pPr>
      <w:r w:rsidRPr="00F3470A">
        <w:rPr>
          <w:i/>
          <w:iCs/>
          <w:sz w:val="28"/>
          <w:szCs w:val="28"/>
        </w:rPr>
        <w:t>Theo đề nghị của Giám đốc Sở Tài nguyên và Môi trường tại Tờ trình số</w:t>
      </w:r>
      <w:r w:rsidR="00801BA7">
        <w:rPr>
          <w:i/>
          <w:iCs/>
          <w:sz w:val="28"/>
          <w:szCs w:val="28"/>
        </w:rPr>
        <w:t xml:space="preserve"> 2921</w:t>
      </w:r>
      <w:r w:rsidRPr="00F3470A">
        <w:rPr>
          <w:i/>
          <w:iCs/>
          <w:sz w:val="28"/>
          <w:szCs w:val="28"/>
        </w:rPr>
        <w:t xml:space="preserve">/TTr-STNMT ngày </w:t>
      </w:r>
      <w:r w:rsidR="00801BA7">
        <w:rPr>
          <w:i/>
          <w:iCs/>
          <w:sz w:val="28"/>
          <w:szCs w:val="28"/>
        </w:rPr>
        <w:t>15/8</w:t>
      </w:r>
      <w:r w:rsidRPr="00F3470A">
        <w:rPr>
          <w:i/>
          <w:iCs/>
          <w:sz w:val="28"/>
          <w:szCs w:val="28"/>
        </w:rPr>
        <w:t>/202</w:t>
      </w:r>
      <w:r w:rsidR="00781150" w:rsidRPr="00F3470A">
        <w:rPr>
          <w:i/>
          <w:iCs/>
          <w:sz w:val="28"/>
          <w:szCs w:val="28"/>
        </w:rPr>
        <w:t>2</w:t>
      </w:r>
      <w:r w:rsidRPr="00F3470A">
        <w:rPr>
          <w:i/>
          <w:iCs/>
          <w:sz w:val="28"/>
          <w:szCs w:val="28"/>
        </w:rPr>
        <w:t xml:space="preserve"> (kèm Báo cáo thẩm định số </w:t>
      </w:r>
      <w:r w:rsidR="002B61BF">
        <w:rPr>
          <w:i/>
          <w:iCs/>
          <w:sz w:val="28"/>
          <w:szCs w:val="28"/>
        </w:rPr>
        <w:t>270</w:t>
      </w:r>
      <w:r w:rsidRPr="00F3470A">
        <w:rPr>
          <w:i/>
          <w:iCs/>
          <w:sz w:val="28"/>
          <w:szCs w:val="28"/>
        </w:rPr>
        <w:t xml:space="preserve">/BC-STP ngày </w:t>
      </w:r>
      <w:r w:rsidR="002B61BF">
        <w:rPr>
          <w:i/>
          <w:iCs/>
          <w:sz w:val="28"/>
          <w:szCs w:val="28"/>
        </w:rPr>
        <w:t>11</w:t>
      </w:r>
      <w:r w:rsidRPr="00F3470A">
        <w:rPr>
          <w:i/>
          <w:iCs/>
          <w:sz w:val="28"/>
          <w:szCs w:val="28"/>
        </w:rPr>
        <w:t>/</w:t>
      </w:r>
      <w:r w:rsidR="002B61BF">
        <w:rPr>
          <w:i/>
          <w:iCs/>
          <w:sz w:val="28"/>
          <w:szCs w:val="28"/>
        </w:rPr>
        <w:t>8</w:t>
      </w:r>
      <w:r w:rsidRPr="00F3470A">
        <w:rPr>
          <w:i/>
          <w:iCs/>
          <w:sz w:val="28"/>
          <w:szCs w:val="28"/>
        </w:rPr>
        <w:t>/202</w:t>
      </w:r>
      <w:r w:rsidR="00781150" w:rsidRPr="00F3470A">
        <w:rPr>
          <w:i/>
          <w:iCs/>
          <w:sz w:val="28"/>
          <w:szCs w:val="28"/>
        </w:rPr>
        <w:t>2</w:t>
      </w:r>
      <w:r w:rsidRPr="00F3470A">
        <w:rPr>
          <w:i/>
          <w:iCs/>
          <w:sz w:val="28"/>
          <w:szCs w:val="28"/>
        </w:rPr>
        <w:t xml:space="preserve"> của Sở Tư pháp)</w:t>
      </w:r>
      <w:r w:rsidR="00801BA7">
        <w:rPr>
          <w:i/>
          <w:iCs/>
          <w:sz w:val="28"/>
          <w:szCs w:val="28"/>
        </w:rPr>
        <w:t>; sau khi lấy ý kiến thống nhất Ủy viên UBND tỉnh ngày 22/8/2022</w:t>
      </w:r>
      <w:r w:rsidRPr="00F3470A">
        <w:rPr>
          <w:i/>
          <w:iCs/>
          <w:sz w:val="28"/>
          <w:szCs w:val="28"/>
        </w:rPr>
        <w:t>.</w:t>
      </w:r>
    </w:p>
    <w:p w:rsidR="009E0658" w:rsidRPr="00F3470A" w:rsidRDefault="009E0658" w:rsidP="004F0485">
      <w:pPr>
        <w:spacing w:before="240" w:after="240"/>
        <w:jc w:val="center"/>
        <w:rPr>
          <w:sz w:val="28"/>
          <w:szCs w:val="28"/>
        </w:rPr>
      </w:pPr>
      <w:r w:rsidRPr="00F3470A">
        <w:rPr>
          <w:b/>
          <w:bCs/>
          <w:sz w:val="28"/>
          <w:szCs w:val="28"/>
        </w:rPr>
        <w:lastRenderedPageBreak/>
        <w:t>QUYẾT ĐỊNH:</w:t>
      </w:r>
    </w:p>
    <w:p w:rsidR="00C4692A" w:rsidRPr="00F3470A" w:rsidRDefault="009E0658" w:rsidP="004F0485">
      <w:pPr>
        <w:spacing w:before="120"/>
        <w:ind w:firstLine="720"/>
        <w:jc w:val="both"/>
        <w:rPr>
          <w:b/>
          <w:bCs/>
          <w:sz w:val="28"/>
          <w:szCs w:val="28"/>
        </w:rPr>
      </w:pPr>
      <w:bookmarkStart w:id="3" w:name="dieu_1"/>
      <w:r w:rsidRPr="00F3470A">
        <w:rPr>
          <w:b/>
          <w:bCs/>
          <w:sz w:val="28"/>
          <w:szCs w:val="28"/>
        </w:rPr>
        <w:t>Điều 1.</w:t>
      </w:r>
      <w:bookmarkEnd w:id="3"/>
      <w:r w:rsidRPr="00F3470A">
        <w:rPr>
          <w:b/>
          <w:bCs/>
          <w:sz w:val="28"/>
          <w:szCs w:val="28"/>
        </w:rPr>
        <w:t xml:space="preserve"> </w:t>
      </w:r>
      <w:bookmarkStart w:id="4" w:name="dieu_1_name"/>
      <w:r w:rsidR="00C4692A" w:rsidRPr="00F3470A">
        <w:rPr>
          <w:b/>
          <w:bCs/>
          <w:sz w:val="28"/>
          <w:szCs w:val="28"/>
        </w:rPr>
        <w:t>Nội dung và thời gian ủy quyền</w:t>
      </w:r>
    </w:p>
    <w:p w:rsidR="00781150" w:rsidRPr="00F3470A" w:rsidRDefault="004F6F12" w:rsidP="004F0485">
      <w:pPr>
        <w:spacing w:before="120"/>
        <w:ind w:firstLine="720"/>
        <w:jc w:val="both"/>
        <w:rPr>
          <w:sz w:val="28"/>
          <w:szCs w:val="28"/>
        </w:rPr>
      </w:pPr>
      <w:r w:rsidRPr="00F3470A">
        <w:rPr>
          <w:bCs/>
          <w:sz w:val="28"/>
          <w:szCs w:val="28"/>
        </w:rPr>
        <w:t xml:space="preserve">1. </w:t>
      </w:r>
      <w:r w:rsidR="00D10446" w:rsidRPr="00F3470A">
        <w:rPr>
          <w:bCs/>
          <w:sz w:val="28"/>
          <w:szCs w:val="28"/>
        </w:rPr>
        <w:t>Ủy</w:t>
      </w:r>
      <w:r w:rsidR="00781150" w:rsidRPr="00F3470A">
        <w:rPr>
          <w:sz w:val="28"/>
          <w:szCs w:val="28"/>
        </w:rPr>
        <w:t xml:space="preserve"> quyền </w:t>
      </w:r>
      <w:r w:rsidR="00D10446" w:rsidRPr="00F3470A">
        <w:rPr>
          <w:sz w:val="28"/>
          <w:szCs w:val="28"/>
        </w:rPr>
        <w:t xml:space="preserve">cho Ủy ban nhân dân các huyện, thành phố, thị xã </w:t>
      </w:r>
      <w:r w:rsidR="000A3BA9" w:rsidRPr="00F3470A">
        <w:rPr>
          <w:sz w:val="28"/>
          <w:szCs w:val="28"/>
        </w:rPr>
        <w:t>quyết định</w:t>
      </w:r>
      <w:r w:rsidR="00781150" w:rsidRPr="00F3470A">
        <w:rPr>
          <w:sz w:val="28"/>
          <w:szCs w:val="28"/>
        </w:rPr>
        <w:t xml:space="preserve"> giá đất cụ thể </w:t>
      </w:r>
      <w:r w:rsidR="00B655FE" w:rsidRPr="00F3470A">
        <w:rPr>
          <w:i/>
          <w:sz w:val="28"/>
          <w:szCs w:val="28"/>
        </w:rPr>
        <w:t>(không bao gồm việc xác định giá đất cụ thể theo hệ số điều chỉnh (hệ số K)</w:t>
      </w:r>
      <w:r w:rsidR="00B655FE" w:rsidRPr="00F3470A">
        <w:rPr>
          <w:sz w:val="28"/>
          <w:szCs w:val="28"/>
        </w:rPr>
        <w:t xml:space="preserve"> </w:t>
      </w:r>
      <w:r w:rsidR="00D10446" w:rsidRPr="00F3470A">
        <w:rPr>
          <w:sz w:val="28"/>
          <w:szCs w:val="28"/>
        </w:rPr>
        <w:t>đối với các trường hợp</w:t>
      </w:r>
      <w:r w:rsidR="00B30250" w:rsidRPr="00F3470A">
        <w:rPr>
          <w:sz w:val="28"/>
          <w:szCs w:val="28"/>
        </w:rPr>
        <w:t>:</w:t>
      </w:r>
    </w:p>
    <w:bookmarkEnd w:id="4"/>
    <w:p w:rsidR="009E0658" w:rsidRPr="00F3470A" w:rsidRDefault="00B440D3" w:rsidP="004F0485">
      <w:pPr>
        <w:spacing w:before="120"/>
        <w:ind w:firstLine="720"/>
        <w:jc w:val="both"/>
        <w:rPr>
          <w:sz w:val="28"/>
          <w:szCs w:val="28"/>
        </w:rPr>
      </w:pPr>
      <w:r>
        <w:rPr>
          <w:sz w:val="28"/>
          <w:szCs w:val="28"/>
        </w:rPr>
        <w:t>a)</w:t>
      </w:r>
      <w:r w:rsidR="009E0658" w:rsidRPr="00F3470A">
        <w:rPr>
          <w:sz w:val="28"/>
          <w:szCs w:val="28"/>
        </w:rPr>
        <w:t xml:space="preserve"> Tính tiền bồi thường</w:t>
      </w:r>
      <w:r w:rsidR="00867D66" w:rsidRPr="00F3470A">
        <w:rPr>
          <w:sz w:val="28"/>
          <w:szCs w:val="28"/>
        </w:rPr>
        <w:t>, hỗ trợ</w:t>
      </w:r>
      <w:r w:rsidR="009E0658" w:rsidRPr="00F3470A">
        <w:rPr>
          <w:sz w:val="28"/>
          <w:szCs w:val="28"/>
        </w:rPr>
        <w:t xml:space="preserve"> khi Nhà nước thu hồi đất thực hiện các công trình, dự án trên địa bàn.</w:t>
      </w:r>
    </w:p>
    <w:p w:rsidR="009E0658" w:rsidRPr="00F3470A" w:rsidRDefault="00B440D3" w:rsidP="004F0485">
      <w:pPr>
        <w:spacing w:before="120"/>
        <w:ind w:firstLine="720"/>
        <w:jc w:val="both"/>
        <w:rPr>
          <w:sz w:val="28"/>
          <w:szCs w:val="28"/>
        </w:rPr>
      </w:pPr>
      <w:r>
        <w:rPr>
          <w:sz w:val="28"/>
          <w:szCs w:val="28"/>
        </w:rPr>
        <w:t>b)</w:t>
      </w:r>
      <w:r w:rsidR="009E0658" w:rsidRPr="00F3470A">
        <w:rPr>
          <w:sz w:val="28"/>
          <w:szCs w:val="28"/>
        </w:rPr>
        <w:t xml:space="preserve">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sidR="009E0658" w:rsidRPr="00F3470A" w:rsidRDefault="00B440D3" w:rsidP="004F0485">
      <w:pPr>
        <w:spacing w:before="120"/>
        <w:ind w:firstLine="720"/>
        <w:jc w:val="both"/>
        <w:rPr>
          <w:sz w:val="28"/>
          <w:szCs w:val="28"/>
        </w:rPr>
      </w:pPr>
      <w:r>
        <w:rPr>
          <w:sz w:val="28"/>
          <w:szCs w:val="28"/>
        </w:rPr>
        <w:t>c)</w:t>
      </w:r>
      <w:r w:rsidR="009E0658" w:rsidRPr="00F3470A">
        <w:rPr>
          <w:sz w:val="28"/>
          <w:szCs w:val="28"/>
        </w:rPr>
        <w:t xml:space="preserve"> Tính tiền sử dụng đất đối với hộ gia đình, cá nhân khi Nhà nước giao đất có thu tiền sử dụng đất không thông qua hình thức đấu giá quyền sử dụng đất.</w:t>
      </w:r>
    </w:p>
    <w:p w:rsidR="009E0658" w:rsidRPr="00F3470A" w:rsidRDefault="00B440D3" w:rsidP="004F0485">
      <w:pPr>
        <w:spacing w:before="120"/>
        <w:ind w:firstLine="720"/>
        <w:jc w:val="both"/>
        <w:rPr>
          <w:sz w:val="28"/>
          <w:szCs w:val="28"/>
        </w:rPr>
      </w:pPr>
      <w:r>
        <w:rPr>
          <w:sz w:val="28"/>
          <w:szCs w:val="28"/>
        </w:rPr>
        <w:t>d)</w:t>
      </w:r>
      <w:r w:rsidR="009E0658" w:rsidRPr="00F3470A">
        <w:rPr>
          <w:sz w:val="28"/>
          <w:szCs w:val="28"/>
        </w:rPr>
        <w:t xml:space="preserve"> Tính tiền thuê đất đối với hộ gia đình, cá nhân với trường hợp Nhà nước cho thuê đất không thông qua hình thức đấu giá quyền sử dụng đất.</w:t>
      </w:r>
    </w:p>
    <w:p w:rsidR="009E0658" w:rsidRPr="00F3470A" w:rsidRDefault="00B440D3" w:rsidP="004F0485">
      <w:pPr>
        <w:spacing w:before="120"/>
        <w:ind w:firstLine="720"/>
        <w:jc w:val="both"/>
        <w:rPr>
          <w:sz w:val="28"/>
          <w:szCs w:val="28"/>
        </w:rPr>
      </w:pPr>
      <w:r>
        <w:rPr>
          <w:sz w:val="28"/>
          <w:szCs w:val="28"/>
        </w:rPr>
        <w:t>đ)</w:t>
      </w:r>
      <w:r w:rsidR="009E0658" w:rsidRPr="00F3470A">
        <w:rPr>
          <w:sz w:val="28"/>
          <w:szCs w:val="28"/>
        </w:rPr>
        <w:t xml:space="preserve"> Hộ gia đình, cá nhân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w:t>
      </w:r>
      <w:r w:rsidR="003308E6">
        <w:rPr>
          <w:sz w:val="28"/>
          <w:szCs w:val="28"/>
        </w:rPr>
        <w:t>Đ</w:t>
      </w:r>
      <w:r w:rsidR="009E0658" w:rsidRPr="00F3470A">
        <w:rPr>
          <w:sz w:val="28"/>
          <w:szCs w:val="28"/>
        </w:rPr>
        <w:t>ất đai.</w:t>
      </w:r>
    </w:p>
    <w:p w:rsidR="009E0658" w:rsidRPr="00F3470A" w:rsidRDefault="00B440D3" w:rsidP="004F0485">
      <w:pPr>
        <w:spacing w:before="120"/>
        <w:ind w:firstLine="720"/>
        <w:jc w:val="both"/>
        <w:rPr>
          <w:sz w:val="28"/>
          <w:szCs w:val="28"/>
        </w:rPr>
      </w:pPr>
      <w:r>
        <w:rPr>
          <w:sz w:val="28"/>
          <w:szCs w:val="28"/>
        </w:rPr>
        <w:t>e)</w:t>
      </w:r>
      <w:r w:rsidR="009E0658" w:rsidRPr="00F3470A">
        <w:rPr>
          <w:sz w:val="28"/>
          <w:szCs w:val="28"/>
        </w:rPr>
        <w:t xml:space="preserve"> Hộ gia đình, cá nhân mua tài sản được Nhà nước tiếp tục cho thuê đất trả tiền hàng năm trong thời hạn sử dụng đất còn lại theo giá đất cụ thể, sử dụng đất đúng mục đích đã được xác định trong dự án.</w:t>
      </w:r>
    </w:p>
    <w:p w:rsidR="009E0658" w:rsidRPr="00F3470A" w:rsidRDefault="00B8351F" w:rsidP="004F0485">
      <w:pPr>
        <w:spacing w:before="120"/>
        <w:ind w:firstLine="720"/>
        <w:jc w:val="both"/>
        <w:rPr>
          <w:sz w:val="28"/>
          <w:szCs w:val="28"/>
        </w:rPr>
      </w:pPr>
      <w:r>
        <w:rPr>
          <w:sz w:val="28"/>
          <w:szCs w:val="28"/>
        </w:rPr>
        <w:t>g)</w:t>
      </w:r>
      <w:r w:rsidR="009E0658" w:rsidRPr="00F3470A">
        <w:rPr>
          <w:sz w:val="28"/>
          <w:szCs w:val="28"/>
        </w:rPr>
        <w:t xml:space="preserve"> Giá đất cụ thể làm căn cứ xác định giá khởi điểm để đấu giá quyền sử dụng đất khi Nhà nước giao đất có thu tiền sử dụng đất, cho thuê đất thu tiền một lần cho cả thời gian thuê cho hộ gia đình, cá nhân.</w:t>
      </w:r>
    </w:p>
    <w:p w:rsidR="00C4692A" w:rsidRPr="00F3470A" w:rsidRDefault="004F6F12" w:rsidP="004F0485">
      <w:pPr>
        <w:spacing w:before="120"/>
        <w:ind w:firstLine="720"/>
        <w:jc w:val="both"/>
        <w:rPr>
          <w:sz w:val="28"/>
          <w:szCs w:val="28"/>
        </w:rPr>
      </w:pPr>
      <w:r w:rsidRPr="00F3470A">
        <w:rPr>
          <w:sz w:val="28"/>
          <w:szCs w:val="28"/>
        </w:rPr>
        <w:t xml:space="preserve">2. </w:t>
      </w:r>
      <w:r w:rsidR="00C4692A" w:rsidRPr="00F3470A">
        <w:rPr>
          <w:sz w:val="28"/>
          <w:szCs w:val="28"/>
        </w:rPr>
        <w:t>Thời gian ủy quyền: Kể từ ngày quyết định này có hiệu lực đến hết ngày 31/12/2024.</w:t>
      </w:r>
    </w:p>
    <w:p w:rsidR="005032D1" w:rsidRPr="00F3470A" w:rsidRDefault="005032D1" w:rsidP="004F0485">
      <w:pPr>
        <w:spacing w:before="120"/>
        <w:ind w:firstLine="720"/>
        <w:jc w:val="both"/>
        <w:rPr>
          <w:b/>
          <w:sz w:val="28"/>
          <w:szCs w:val="28"/>
        </w:rPr>
      </w:pPr>
      <w:r w:rsidRPr="00F3470A">
        <w:rPr>
          <w:b/>
          <w:bCs/>
          <w:sz w:val="28"/>
          <w:szCs w:val="28"/>
        </w:rPr>
        <w:t xml:space="preserve">Điều 2. </w:t>
      </w:r>
      <w:r w:rsidRPr="00F3470A">
        <w:rPr>
          <w:b/>
          <w:sz w:val="28"/>
          <w:szCs w:val="28"/>
        </w:rPr>
        <w:t>Phối hợp xử lý giá đất tại các khu vực giáp ranh giữa các địa phương khi xây dựng giá đất cụ thể</w:t>
      </w:r>
    </w:p>
    <w:p w:rsidR="005032D1" w:rsidRPr="00F3470A" w:rsidRDefault="005032D1" w:rsidP="004F0485">
      <w:pPr>
        <w:spacing w:before="120"/>
        <w:ind w:firstLine="720"/>
        <w:jc w:val="both"/>
        <w:rPr>
          <w:sz w:val="28"/>
          <w:szCs w:val="28"/>
        </w:rPr>
      </w:pPr>
      <w:r w:rsidRPr="00F3470A">
        <w:rPr>
          <w:sz w:val="28"/>
          <w:szCs w:val="28"/>
        </w:rPr>
        <w:t xml:space="preserve">Việc </w:t>
      </w:r>
      <w:r w:rsidR="00636105">
        <w:rPr>
          <w:sz w:val="28"/>
          <w:szCs w:val="28"/>
        </w:rPr>
        <w:t>quyết định</w:t>
      </w:r>
      <w:r w:rsidRPr="00F3470A">
        <w:rPr>
          <w:sz w:val="28"/>
          <w:szCs w:val="28"/>
        </w:rPr>
        <w:t xml:space="preserve"> giá đất cụ thể quy định tại Điều 1 nêu trên đối với các khu vực giáp ranh giữa các huyện, thành phố, thị xã được tính từ đường địa giới hành chính ra mỗi bên 500m trước khi phê duyệt phải gửi Dự thảo phương án giá đất của đơn vị mình để lấy ý kiến thống nhất bằng văn của Ủy ban nhân dân huyện, thành phố, thị xã tiếp giáp. Trường hợp có ý kiến lệch về giá đất lớn hơn 30% các địa phương không thống nhất được thì Uỷ ban nhân dân huyện, thành phố, thị xã nơi có đất tổng hợp báo cáo gửi Sở Tài nguyên và Môi trường để cùng các Sở, </w:t>
      </w:r>
      <w:r w:rsidRPr="00F3470A">
        <w:rPr>
          <w:sz w:val="28"/>
          <w:szCs w:val="28"/>
        </w:rPr>
        <w:lastRenderedPageBreak/>
        <w:t xml:space="preserve">ngành liên quan xem xét trình Ủy ban nhân dân tỉnh có ý kiến bằng Văn bản chỉ đạo trước khi Ủy ban nhân dân huyện, thành phố, thị xã </w:t>
      </w:r>
      <w:r w:rsidR="002975B9">
        <w:rPr>
          <w:sz w:val="28"/>
          <w:szCs w:val="28"/>
        </w:rPr>
        <w:t>quyết định</w:t>
      </w:r>
      <w:r w:rsidR="002975B9" w:rsidRPr="00F3470A">
        <w:rPr>
          <w:sz w:val="28"/>
          <w:szCs w:val="28"/>
        </w:rPr>
        <w:t xml:space="preserve"> giá đất cụ thể</w:t>
      </w:r>
      <w:r w:rsidRPr="00F3470A">
        <w:rPr>
          <w:sz w:val="28"/>
          <w:szCs w:val="28"/>
        </w:rPr>
        <w:t>.</w:t>
      </w:r>
    </w:p>
    <w:p w:rsidR="009E0658" w:rsidRPr="00F3470A" w:rsidRDefault="009E0658" w:rsidP="004F0485">
      <w:pPr>
        <w:spacing w:before="120"/>
        <w:ind w:firstLine="720"/>
        <w:jc w:val="both"/>
        <w:rPr>
          <w:b/>
          <w:sz w:val="28"/>
          <w:szCs w:val="28"/>
        </w:rPr>
      </w:pPr>
      <w:bookmarkStart w:id="5" w:name="dieu_4"/>
      <w:r w:rsidRPr="00F3470A">
        <w:rPr>
          <w:b/>
          <w:bCs/>
          <w:sz w:val="28"/>
          <w:szCs w:val="28"/>
        </w:rPr>
        <w:t xml:space="preserve">Điều </w:t>
      </w:r>
      <w:r w:rsidR="002B61BF">
        <w:rPr>
          <w:b/>
          <w:bCs/>
          <w:sz w:val="28"/>
          <w:szCs w:val="28"/>
        </w:rPr>
        <w:t>3</w:t>
      </w:r>
      <w:r w:rsidRPr="00F3470A">
        <w:rPr>
          <w:b/>
          <w:bCs/>
          <w:sz w:val="28"/>
          <w:szCs w:val="28"/>
        </w:rPr>
        <w:t>. Trách nhiệm tổ chức thực hiện</w:t>
      </w:r>
      <w:bookmarkEnd w:id="5"/>
    </w:p>
    <w:p w:rsidR="009E0658" w:rsidRPr="00F3470A" w:rsidRDefault="002E0A26" w:rsidP="004F0485">
      <w:pPr>
        <w:spacing w:before="120"/>
        <w:ind w:firstLine="720"/>
        <w:jc w:val="both"/>
        <w:rPr>
          <w:sz w:val="28"/>
          <w:szCs w:val="28"/>
        </w:rPr>
      </w:pPr>
      <w:r w:rsidRPr="00F3470A">
        <w:rPr>
          <w:sz w:val="28"/>
          <w:szCs w:val="28"/>
        </w:rPr>
        <w:t xml:space="preserve">1. </w:t>
      </w:r>
      <w:r w:rsidR="009E0658" w:rsidRPr="00F3470A">
        <w:rPr>
          <w:sz w:val="28"/>
          <w:szCs w:val="28"/>
        </w:rPr>
        <w:t>Ủy ban nhân dân các huyện, thành phố, thị xã chịu trách nhiệm tổ chức thực hiện các nội dung được ủy quyền theo đúng trình tự thủ tục quy định</w:t>
      </w:r>
      <w:r w:rsidR="00517079" w:rsidRPr="00F3470A">
        <w:rPr>
          <w:sz w:val="28"/>
          <w:szCs w:val="28"/>
        </w:rPr>
        <w:t>, đảm các nguồn lực và điều kiện cần thiết khác để thực hiện nhiệm vụ</w:t>
      </w:r>
      <w:r w:rsidR="009E0658" w:rsidRPr="00F3470A">
        <w:rPr>
          <w:sz w:val="28"/>
          <w:szCs w:val="28"/>
        </w:rPr>
        <w:t xml:space="preserve">, chịu trách nhiệm trước pháp luật và Ủy ban nhân dân tỉnh về quyết định của mình đối với việc </w:t>
      </w:r>
      <w:r w:rsidR="00F31EFD" w:rsidRPr="00F3470A">
        <w:rPr>
          <w:sz w:val="28"/>
          <w:szCs w:val="28"/>
        </w:rPr>
        <w:t>quyết định</w:t>
      </w:r>
      <w:r w:rsidR="009E0658" w:rsidRPr="00F3470A">
        <w:rPr>
          <w:sz w:val="28"/>
          <w:szCs w:val="28"/>
        </w:rPr>
        <w:t xml:space="preserve"> giá đất cụ thể và việc tổ chức triển khai thực hiện.</w:t>
      </w:r>
      <w:r w:rsidR="00F91F7B" w:rsidRPr="00F3470A">
        <w:rPr>
          <w:sz w:val="28"/>
          <w:szCs w:val="28"/>
        </w:rPr>
        <w:t xml:space="preserve"> Báo cáo kết quả thực hiện ủy quyền </w:t>
      </w:r>
      <w:r w:rsidR="00F31EFD" w:rsidRPr="00F3470A">
        <w:rPr>
          <w:sz w:val="28"/>
          <w:szCs w:val="28"/>
        </w:rPr>
        <w:t>quyết định</w:t>
      </w:r>
      <w:r w:rsidR="00F91F7B" w:rsidRPr="00F3470A">
        <w:rPr>
          <w:sz w:val="28"/>
          <w:szCs w:val="28"/>
        </w:rPr>
        <w:t xml:space="preserve"> giá đất cụ thể hàng tháng vào ngày 05 của tháng liền kề về Sở Tài chính (cơ quan thường trực của Hội đồng thẩm định giá đất tỉnh) để tổng hợp, báo cáo UBND tỉnh.</w:t>
      </w:r>
    </w:p>
    <w:p w:rsidR="00A64231" w:rsidRDefault="002E0A26" w:rsidP="00A64231">
      <w:pPr>
        <w:spacing w:before="120"/>
        <w:ind w:firstLine="720"/>
        <w:jc w:val="both"/>
        <w:rPr>
          <w:sz w:val="28"/>
          <w:szCs w:val="28"/>
        </w:rPr>
      </w:pPr>
      <w:r w:rsidRPr="00F3470A">
        <w:rPr>
          <w:sz w:val="28"/>
          <w:szCs w:val="28"/>
        </w:rPr>
        <w:t xml:space="preserve">2. </w:t>
      </w:r>
      <w:r w:rsidR="00F01CDC" w:rsidRPr="00F3470A">
        <w:rPr>
          <w:sz w:val="28"/>
          <w:szCs w:val="28"/>
        </w:rPr>
        <w:t>Giám đốc Sở Tài nguyên và Môi trường</w:t>
      </w:r>
      <w:r w:rsidR="00ED3CAB" w:rsidRPr="00F3470A">
        <w:rPr>
          <w:sz w:val="28"/>
          <w:szCs w:val="28"/>
        </w:rPr>
        <w:t>, Sở Tài chính</w:t>
      </w:r>
      <w:r w:rsidR="00F01CDC" w:rsidRPr="00F3470A">
        <w:rPr>
          <w:sz w:val="28"/>
          <w:szCs w:val="28"/>
        </w:rPr>
        <w:t xml:space="preserve"> </w:t>
      </w:r>
      <w:r w:rsidR="005F71C9" w:rsidRPr="00F3470A">
        <w:rPr>
          <w:sz w:val="28"/>
          <w:szCs w:val="28"/>
        </w:rPr>
        <w:t xml:space="preserve">theo thẩm quyền </w:t>
      </w:r>
      <w:r w:rsidR="00ED3CAB" w:rsidRPr="00F3470A">
        <w:rPr>
          <w:sz w:val="28"/>
          <w:szCs w:val="28"/>
        </w:rPr>
        <w:t>có trách nhiệm</w:t>
      </w:r>
      <w:r w:rsidR="00517CF1" w:rsidRPr="00F3470A">
        <w:rPr>
          <w:sz w:val="28"/>
          <w:szCs w:val="28"/>
        </w:rPr>
        <w:t xml:space="preserve"> </w:t>
      </w:r>
      <w:r w:rsidR="00ED3CAB" w:rsidRPr="00F3470A">
        <w:rPr>
          <w:sz w:val="28"/>
          <w:szCs w:val="28"/>
        </w:rPr>
        <w:t>hướng dẫn UBND cấp huyện</w:t>
      </w:r>
      <w:r w:rsidR="005F71C9" w:rsidRPr="00F3470A">
        <w:rPr>
          <w:sz w:val="28"/>
          <w:szCs w:val="28"/>
        </w:rPr>
        <w:t xml:space="preserve"> tổ chức</w:t>
      </w:r>
      <w:r w:rsidR="00ED3CAB" w:rsidRPr="00F3470A">
        <w:rPr>
          <w:sz w:val="28"/>
          <w:szCs w:val="28"/>
        </w:rPr>
        <w:t xml:space="preserve"> </w:t>
      </w:r>
      <w:r w:rsidR="005F71C9" w:rsidRPr="00F3470A">
        <w:rPr>
          <w:sz w:val="28"/>
          <w:szCs w:val="28"/>
        </w:rPr>
        <w:t xml:space="preserve">thực hiện việc ủy quyền </w:t>
      </w:r>
      <w:r w:rsidRPr="00F3470A">
        <w:rPr>
          <w:sz w:val="28"/>
          <w:szCs w:val="28"/>
        </w:rPr>
        <w:t>quyết định</w:t>
      </w:r>
      <w:r w:rsidR="005F71C9" w:rsidRPr="00F3470A">
        <w:rPr>
          <w:sz w:val="28"/>
          <w:szCs w:val="28"/>
        </w:rPr>
        <w:t xml:space="preserve"> giá đất cụ thể</w:t>
      </w:r>
      <w:r w:rsidR="00517079" w:rsidRPr="00F3470A">
        <w:rPr>
          <w:sz w:val="28"/>
          <w:szCs w:val="28"/>
        </w:rPr>
        <w:t>.</w:t>
      </w:r>
    </w:p>
    <w:p w:rsidR="00517CF1" w:rsidRPr="00F3470A" w:rsidRDefault="002E0A26" w:rsidP="00A64231">
      <w:pPr>
        <w:spacing w:before="120"/>
        <w:ind w:firstLine="720"/>
        <w:jc w:val="both"/>
        <w:rPr>
          <w:sz w:val="28"/>
          <w:szCs w:val="28"/>
        </w:rPr>
      </w:pPr>
      <w:r w:rsidRPr="00F3470A">
        <w:rPr>
          <w:sz w:val="28"/>
          <w:szCs w:val="28"/>
        </w:rPr>
        <w:t xml:space="preserve">3. </w:t>
      </w:r>
      <w:r w:rsidR="009E0658" w:rsidRPr="00F3470A">
        <w:rPr>
          <w:sz w:val="28"/>
          <w:szCs w:val="28"/>
        </w:rPr>
        <w:t>Giám đốc các Sở: Tài nguyên và Môi trường, Tư pháp, Tài chính, Xây dựng, Kế hoạch và Đầu tư có trách nhiệm kiểm tra, giám sát việc thực hiện của Ủy ban nhân dân các huyện, thành phố, thị xã đảm bảo khách quan, chính xác và đúng quy định</w:t>
      </w:r>
      <w:r w:rsidR="00517CF1" w:rsidRPr="00F3470A">
        <w:rPr>
          <w:sz w:val="28"/>
          <w:szCs w:val="28"/>
        </w:rPr>
        <w:t>.</w:t>
      </w:r>
    </w:p>
    <w:p w:rsidR="009E0658" w:rsidRPr="00F3470A" w:rsidRDefault="007C6D5C" w:rsidP="004F0485">
      <w:pPr>
        <w:spacing w:before="120"/>
        <w:jc w:val="both"/>
        <w:rPr>
          <w:b/>
          <w:sz w:val="28"/>
          <w:szCs w:val="28"/>
        </w:rPr>
      </w:pPr>
      <w:r w:rsidRPr="00F3470A">
        <w:rPr>
          <w:b/>
          <w:sz w:val="28"/>
          <w:szCs w:val="28"/>
        </w:rPr>
        <w:tab/>
      </w:r>
      <w:bookmarkStart w:id="6" w:name="dieu_5"/>
      <w:r w:rsidR="009E0658" w:rsidRPr="00F3470A">
        <w:rPr>
          <w:b/>
          <w:bCs/>
          <w:sz w:val="28"/>
          <w:szCs w:val="28"/>
        </w:rPr>
        <w:t xml:space="preserve">Điều </w:t>
      </w:r>
      <w:r w:rsidR="002B61BF">
        <w:rPr>
          <w:b/>
          <w:bCs/>
          <w:sz w:val="28"/>
          <w:szCs w:val="28"/>
        </w:rPr>
        <w:t>4</w:t>
      </w:r>
      <w:r w:rsidR="009E0658" w:rsidRPr="00F3470A">
        <w:rPr>
          <w:b/>
          <w:bCs/>
          <w:sz w:val="28"/>
          <w:szCs w:val="28"/>
        </w:rPr>
        <w:t>. Hiệu lực thi hành</w:t>
      </w:r>
      <w:bookmarkEnd w:id="6"/>
    </w:p>
    <w:p w:rsidR="009E0658" w:rsidRPr="00F3470A" w:rsidRDefault="009E0658" w:rsidP="004F0485">
      <w:pPr>
        <w:spacing w:before="120"/>
        <w:ind w:firstLine="720"/>
        <w:jc w:val="both"/>
        <w:rPr>
          <w:sz w:val="28"/>
          <w:szCs w:val="28"/>
        </w:rPr>
      </w:pPr>
      <w:r w:rsidRPr="00F3470A">
        <w:rPr>
          <w:sz w:val="28"/>
          <w:szCs w:val="28"/>
        </w:rPr>
        <w:t>Quyết định này có hiệu lực</w:t>
      </w:r>
      <w:r w:rsidR="00AB6AFF" w:rsidRPr="00F3470A">
        <w:rPr>
          <w:sz w:val="28"/>
          <w:szCs w:val="28"/>
        </w:rPr>
        <w:t xml:space="preserve"> thi hành</w:t>
      </w:r>
      <w:r w:rsidRPr="00F3470A">
        <w:rPr>
          <w:sz w:val="28"/>
          <w:szCs w:val="28"/>
        </w:rPr>
        <w:t xml:space="preserve"> từ ngày </w:t>
      </w:r>
      <w:r w:rsidR="005B492E">
        <w:rPr>
          <w:sz w:val="28"/>
          <w:szCs w:val="28"/>
        </w:rPr>
        <w:t>06</w:t>
      </w:r>
      <w:r w:rsidR="00A64231">
        <w:rPr>
          <w:sz w:val="28"/>
          <w:szCs w:val="28"/>
        </w:rPr>
        <w:t xml:space="preserve"> tháng </w:t>
      </w:r>
      <w:r w:rsidR="00CD4D5E">
        <w:rPr>
          <w:sz w:val="28"/>
          <w:szCs w:val="28"/>
        </w:rPr>
        <w:t>9</w:t>
      </w:r>
      <w:r w:rsidR="00A64231">
        <w:rPr>
          <w:sz w:val="28"/>
          <w:szCs w:val="28"/>
        </w:rPr>
        <w:t xml:space="preserve"> năm 2</w:t>
      </w:r>
      <w:r w:rsidR="00807EDA" w:rsidRPr="00F3470A">
        <w:rPr>
          <w:sz w:val="28"/>
          <w:szCs w:val="28"/>
        </w:rPr>
        <w:t>022</w:t>
      </w:r>
      <w:r w:rsidR="00A64231">
        <w:rPr>
          <w:sz w:val="28"/>
          <w:szCs w:val="28"/>
        </w:rPr>
        <w:t>;</w:t>
      </w:r>
      <w:r w:rsidR="00C43940" w:rsidRPr="00F3470A">
        <w:rPr>
          <w:sz w:val="28"/>
          <w:szCs w:val="28"/>
        </w:rPr>
        <w:t xml:space="preserve"> thay thế Quyết định số 07/2021/QĐ-UBND ngày 22/02/2021 của UBND tỉnh về ủy quyền xác định giá đất cụ thể trên địa bàn tỉnh Hà Tĩnh</w:t>
      </w:r>
      <w:r w:rsidRPr="00F3470A">
        <w:rPr>
          <w:sz w:val="28"/>
          <w:szCs w:val="28"/>
        </w:rPr>
        <w:t>.</w:t>
      </w:r>
    </w:p>
    <w:p w:rsidR="009E0658" w:rsidRDefault="009E0658" w:rsidP="004F0485">
      <w:pPr>
        <w:spacing w:before="120"/>
        <w:ind w:firstLine="720"/>
        <w:jc w:val="both"/>
        <w:rPr>
          <w:sz w:val="28"/>
          <w:szCs w:val="28"/>
        </w:rPr>
      </w:pPr>
      <w:r w:rsidRPr="00F3470A">
        <w:rPr>
          <w:sz w:val="28"/>
          <w:szCs w:val="28"/>
        </w:rPr>
        <w:t>Chánh Văn phòng UBND tỉnh; Giám đốc các Sở: Tài nguyên và Môi trường, Tài chính, Xây dựng, Kế hoạch và Đầu tư, Tư pháp; Cục trưởng Cục Thuế tỉnh; Thủ trưởng các ban, ngành, đoàn thể cấp tỉnh có liên quan; Chủ tịch UBND các huyện, thành phố, thị xã và các tổ chức, cá nhân có liên quan chịu trách nhiệm thi hành Quyết định này./.</w:t>
      </w:r>
    </w:p>
    <w:p w:rsidR="00A64231" w:rsidRPr="00F3470A" w:rsidRDefault="00A64231" w:rsidP="004F0485">
      <w:pPr>
        <w:spacing w:before="120"/>
        <w:ind w:firstLine="720"/>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5"/>
        <w:gridCol w:w="4786"/>
      </w:tblGrid>
      <w:tr w:rsidR="009E0658" w:rsidRPr="00F3470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E0658" w:rsidRPr="00F3470A" w:rsidRDefault="009E0658" w:rsidP="00A64231">
            <w:pPr>
              <w:spacing w:before="120" w:after="280" w:afterAutospacing="1"/>
            </w:pPr>
            <w:r w:rsidRPr="00F3470A">
              <w:t> </w:t>
            </w:r>
            <w:r w:rsidRPr="00F3470A">
              <w:rPr>
                <w:b/>
                <w:bCs/>
                <w:i/>
                <w:iCs/>
              </w:rPr>
              <w:t>Nơi nhận:</w:t>
            </w:r>
            <w:r w:rsidRPr="00F3470A">
              <w:rPr>
                <w:b/>
                <w:bCs/>
                <w:i/>
                <w:iCs/>
              </w:rPr>
              <w:br/>
            </w:r>
            <w:r w:rsidRPr="00F3470A">
              <w:rPr>
                <w:sz w:val="22"/>
                <w:szCs w:val="22"/>
              </w:rPr>
              <w:t xml:space="preserve">- Như Điều </w:t>
            </w:r>
            <w:r w:rsidR="002B61BF">
              <w:rPr>
                <w:sz w:val="22"/>
                <w:szCs w:val="22"/>
              </w:rPr>
              <w:t>4</w:t>
            </w:r>
            <w:r w:rsidRPr="00F3470A">
              <w:rPr>
                <w:sz w:val="22"/>
                <w:szCs w:val="22"/>
              </w:rPr>
              <w:t>;</w:t>
            </w:r>
            <w:r w:rsidRPr="00F3470A">
              <w:rPr>
                <w:sz w:val="22"/>
                <w:szCs w:val="22"/>
              </w:rPr>
              <w:br/>
              <w:t>- Bộ Tài nguyên và Môi trường (để b/c);</w:t>
            </w:r>
            <w:r w:rsidRPr="00F3470A">
              <w:rPr>
                <w:sz w:val="22"/>
                <w:szCs w:val="22"/>
              </w:rPr>
              <w:br/>
              <w:t>- Cục Kiểm tra văn bản QPPL - Bộ Tư pháp;</w:t>
            </w:r>
            <w:r w:rsidRPr="00F3470A">
              <w:rPr>
                <w:sz w:val="22"/>
                <w:szCs w:val="22"/>
              </w:rPr>
              <w:br/>
              <w:t>- TTr</w:t>
            </w:r>
            <w:r w:rsidR="00A64231">
              <w:rPr>
                <w:sz w:val="22"/>
                <w:szCs w:val="22"/>
              </w:rPr>
              <w:t>:</w:t>
            </w:r>
            <w:r w:rsidRPr="00F3470A">
              <w:rPr>
                <w:sz w:val="22"/>
                <w:szCs w:val="22"/>
              </w:rPr>
              <w:t xml:space="preserve"> Tỉnh ủy, HĐND tỉnh;</w:t>
            </w:r>
            <w:r w:rsidRPr="00F3470A">
              <w:rPr>
                <w:sz w:val="22"/>
                <w:szCs w:val="22"/>
              </w:rPr>
              <w:br/>
              <w:t>- Website Chính phủ;</w:t>
            </w:r>
            <w:r w:rsidRPr="00F3470A">
              <w:rPr>
                <w:sz w:val="22"/>
                <w:szCs w:val="22"/>
              </w:rPr>
              <w:br/>
              <w:t>- Chủ tịch, các PCT UBND tỉnh;</w:t>
            </w:r>
            <w:r w:rsidRPr="00F3470A">
              <w:rPr>
                <w:sz w:val="22"/>
                <w:szCs w:val="22"/>
              </w:rPr>
              <w:br/>
              <w:t>- Các Ban HĐND tỉnh;</w:t>
            </w:r>
            <w:r w:rsidRPr="00F3470A">
              <w:rPr>
                <w:sz w:val="22"/>
                <w:szCs w:val="22"/>
              </w:rPr>
              <w:br/>
              <w:t>- Báo Hà Tĩnh, Đài PTTH tỉnh;</w:t>
            </w:r>
            <w:r w:rsidRPr="00F3470A">
              <w:rPr>
                <w:sz w:val="22"/>
                <w:szCs w:val="22"/>
              </w:rPr>
              <w:br/>
              <w:t>- Chánh, Phó VP/UB tỉnh;</w:t>
            </w:r>
            <w:r w:rsidRPr="00F3470A">
              <w:rPr>
                <w:sz w:val="22"/>
                <w:szCs w:val="22"/>
              </w:rPr>
              <w:br/>
              <w:t>- Trung tâm CB-TH tỉnh;</w:t>
            </w:r>
            <w:r w:rsidRPr="00F3470A">
              <w:rPr>
                <w:sz w:val="22"/>
                <w:szCs w:val="22"/>
              </w:rPr>
              <w:br/>
              <w:t>- Lưu: VT, NC, NL.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E6C2E" w:rsidRPr="004F0485" w:rsidRDefault="009E6C2E" w:rsidP="004F0485">
            <w:pPr>
              <w:spacing w:before="120"/>
              <w:jc w:val="center"/>
              <w:rPr>
                <w:b/>
                <w:bCs/>
                <w:sz w:val="28"/>
                <w:szCs w:val="28"/>
              </w:rPr>
            </w:pPr>
            <w:r w:rsidRPr="004F0485">
              <w:rPr>
                <w:b/>
                <w:bCs/>
                <w:sz w:val="28"/>
                <w:szCs w:val="28"/>
              </w:rPr>
              <w:t>TM. ỦY BAN NHÂN DÂN</w:t>
            </w:r>
            <w:r w:rsidRPr="004F0485">
              <w:rPr>
                <w:b/>
                <w:bCs/>
                <w:sz w:val="28"/>
                <w:szCs w:val="28"/>
              </w:rPr>
              <w:br/>
            </w:r>
            <w:r w:rsidR="009E0658" w:rsidRPr="004F0485">
              <w:rPr>
                <w:b/>
                <w:bCs/>
                <w:sz w:val="28"/>
                <w:szCs w:val="28"/>
              </w:rPr>
              <w:t>CHỦ TỊCH</w:t>
            </w:r>
            <w:r w:rsidR="009E0658" w:rsidRPr="004F0485">
              <w:rPr>
                <w:sz w:val="28"/>
                <w:szCs w:val="28"/>
              </w:rPr>
              <w:br/>
            </w:r>
            <w:r w:rsidR="009E0658" w:rsidRPr="004F0485">
              <w:rPr>
                <w:b/>
                <w:bCs/>
                <w:sz w:val="28"/>
                <w:szCs w:val="28"/>
              </w:rPr>
              <w:br/>
            </w:r>
            <w:r w:rsidR="009E0658" w:rsidRPr="004F0485">
              <w:rPr>
                <w:b/>
                <w:bCs/>
                <w:sz w:val="28"/>
                <w:szCs w:val="28"/>
              </w:rPr>
              <w:br/>
            </w:r>
            <w:r w:rsidR="009E0658" w:rsidRPr="004F0485">
              <w:rPr>
                <w:b/>
                <w:bCs/>
                <w:sz w:val="28"/>
                <w:szCs w:val="28"/>
              </w:rPr>
              <w:br/>
            </w:r>
          </w:p>
          <w:p w:rsidR="009E0658" w:rsidRPr="00F3470A" w:rsidRDefault="009E0658" w:rsidP="009E6C2E">
            <w:pPr>
              <w:spacing w:before="120"/>
              <w:jc w:val="center"/>
            </w:pPr>
            <w:r w:rsidRPr="004F0485">
              <w:rPr>
                <w:b/>
                <w:bCs/>
                <w:sz w:val="28"/>
                <w:szCs w:val="28"/>
              </w:rPr>
              <w:br/>
            </w:r>
            <w:r w:rsidRPr="004F0485">
              <w:rPr>
                <w:sz w:val="28"/>
                <w:szCs w:val="28"/>
              </w:rPr>
              <w:br/>
            </w:r>
            <w:r w:rsidR="009E6C2E" w:rsidRPr="004F0485">
              <w:rPr>
                <w:b/>
                <w:bCs/>
                <w:sz w:val="28"/>
                <w:szCs w:val="28"/>
              </w:rPr>
              <w:t>Võ Trọng Hải</w:t>
            </w:r>
          </w:p>
        </w:tc>
      </w:tr>
    </w:tbl>
    <w:p w:rsidR="009E0658" w:rsidRPr="00F3470A" w:rsidRDefault="009E0658">
      <w:pPr>
        <w:spacing w:after="280" w:afterAutospacing="1"/>
      </w:pPr>
      <w:r w:rsidRPr="00F3470A">
        <w:rPr>
          <w:b/>
          <w:bCs/>
        </w:rPr>
        <w:t> </w:t>
      </w:r>
    </w:p>
    <w:sectPr w:rsidR="009E0658" w:rsidRPr="00F3470A" w:rsidSect="00A64231">
      <w:headerReference w:type="default" r:id="rId7"/>
      <w:pgSz w:w="11907" w:h="16840" w:code="9"/>
      <w:pgMar w:top="1021" w:right="1134" w:bottom="1021" w:left="1418"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95F" w:rsidRDefault="000D095F" w:rsidP="00A7153E">
      <w:r>
        <w:separator/>
      </w:r>
    </w:p>
  </w:endnote>
  <w:endnote w:type="continuationSeparator" w:id="0">
    <w:p w:rsidR="000D095F" w:rsidRDefault="000D095F" w:rsidP="00A7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95F" w:rsidRDefault="000D095F" w:rsidP="00A7153E">
      <w:r>
        <w:separator/>
      </w:r>
    </w:p>
  </w:footnote>
  <w:footnote w:type="continuationSeparator" w:id="0">
    <w:p w:rsidR="000D095F" w:rsidRDefault="000D095F" w:rsidP="00A7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3E" w:rsidRDefault="00A7153E">
    <w:pPr>
      <w:pStyle w:val="Header"/>
      <w:jc w:val="center"/>
    </w:pPr>
    <w:r>
      <w:fldChar w:fldCharType="begin"/>
    </w:r>
    <w:r>
      <w:instrText xml:space="preserve"> PAGE   \* MERGEFORMAT </w:instrText>
    </w:r>
    <w:r>
      <w:fldChar w:fldCharType="separate"/>
    </w:r>
    <w:r w:rsidR="00CD4D5E">
      <w:rPr>
        <w:noProof/>
      </w:rPr>
      <w:t>3</w:t>
    </w:r>
    <w:r>
      <w:rPr>
        <w:noProof/>
      </w:rPr>
      <w:fldChar w:fldCharType="end"/>
    </w:r>
  </w:p>
  <w:p w:rsidR="00A7153E" w:rsidRDefault="00A71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C74"/>
    <w:rsid w:val="00012851"/>
    <w:rsid w:val="00014124"/>
    <w:rsid w:val="000A3BA9"/>
    <w:rsid w:val="000D095F"/>
    <w:rsid w:val="00130118"/>
    <w:rsid w:val="001B6616"/>
    <w:rsid w:val="001F0F78"/>
    <w:rsid w:val="00243CEB"/>
    <w:rsid w:val="002975B9"/>
    <w:rsid w:val="002B61BF"/>
    <w:rsid w:val="002E0A26"/>
    <w:rsid w:val="003308E6"/>
    <w:rsid w:val="00340D9A"/>
    <w:rsid w:val="003D6C74"/>
    <w:rsid w:val="004F0485"/>
    <w:rsid w:val="004F6F12"/>
    <w:rsid w:val="005032D1"/>
    <w:rsid w:val="00517079"/>
    <w:rsid w:val="00517CF1"/>
    <w:rsid w:val="005A6DD0"/>
    <w:rsid w:val="005B492E"/>
    <w:rsid w:val="005F71C9"/>
    <w:rsid w:val="00615236"/>
    <w:rsid w:val="00636105"/>
    <w:rsid w:val="00672E93"/>
    <w:rsid w:val="00723647"/>
    <w:rsid w:val="00781150"/>
    <w:rsid w:val="007C6D5C"/>
    <w:rsid w:val="007F1451"/>
    <w:rsid w:val="00801BA7"/>
    <w:rsid w:val="00807EDA"/>
    <w:rsid w:val="00867D66"/>
    <w:rsid w:val="008E2770"/>
    <w:rsid w:val="009B6C25"/>
    <w:rsid w:val="009E0658"/>
    <w:rsid w:val="009E6C2E"/>
    <w:rsid w:val="00A30071"/>
    <w:rsid w:val="00A416D3"/>
    <w:rsid w:val="00A62B3D"/>
    <w:rsid w:val="00A64231"/>
    <w:rsid w:val="00A70BA5"/>
    <w:rsid w:val="00A7153E"/>
    <w:rsid w:val="00AA58D6"/>
    <w:rsid w:val="00AB6AFF"/>
    <w:rsid w:val="00AC490E"/>
    <w:rsid w:val="00B20851"/>
    <w:rsid w:val="00B30250"/>
    <w:rsid w:val="00B43BAE"/>
    <w:rsid w:val="00B440D3"/>
    <w:rsid w:val="00B655FE"/>
    <w:rsid w:val="00B65BDF"/>
    <w:rsid w:val="00B8351F"/>
    <w:rsid w:val="00BC4841"/>
    <w:rsid w:val="00C1196B"/>
    <w:rsid w:val="00C43940"/>
    <w:rsid w:val="00C46890"/>
    <w:rsid w:val="00C4692A"/>
    <w:rsid w:val="00CD4D5E"/>
    <w:rsid w:val="00D10446"/>
    <w:rsid w:val="00D30D21"/>
    <w:rsid w:val="00DC6E9C"/>
    <w:rsid w:val="00ED3CAB"/>
    <w:rsid w:val="00ED601E"/>
    <w:rsid w:val="00EF0C20"/>
    <w:rsid w:val="00F01CDC"/>
    <w:rsid w:val="00F31EFD"/>
    <w:rsid w:val="00F3470A"/>
    <w:rsid w:val="00F41412"/>
    <w:rsid w:val="00F91F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96CA7"/>
  <w15:docId w15:val="{EBA9E419-CACB-4D42-86AC-20B4FBC9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53E"/>
    <w:pPr>
      <w:tabs>
        <w:tab w:val="center" w:pos="4680"/>
        <w:tab w:val="right" w:pos="9360"/>
      </w:tabs>
    </w:pPr>
  </w:style>
  <w:style w:type="character" w:customStyle="1" w:styleId="HeaderChar">
    <w:name w:val="Header Char"/>
    <w:link w:val="Header"/>
    <w:uiPriority w:val="99"/>
    <w:rsid w:val="00A7153E"/>
    <w:rPr>
      <w:sz w:val="24"/>
      <w:szCs w:val="24"/>
    </w:rPr>
  </w:style>
  <w:style w:type="paragraph" w:styleId="Footer">
    <w:name w:val="footer"/>
    <w:basedOn w:val="Normal"/>
    <w:link w:val="FooterChar"/>
    <w:uiPriority w:val="99"/>
    <w:unhideWhenUsed/>
    <w:rsid w:val="00A7153E"/>
    <w:pPr>
      <w:tabs>
        <w:tab w:val="center" w:pos="4680"/>
        <w:tab w:val="right" w:pos="9360"/>
      </w:tabs>
    </w:pPr>
  </w:style>
  <w:style w:type="character" w:customStyle="1" w:styleId="FooterChar">
    <w:name w:val="Footer Char"/>
    <w:link w:val="Footer"/>
    <w:uiPriority w:val="99"/>
    <w:rsid w:val="00A7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CD32-6440-49DE-8556-104C632C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1900-12-31T17:00:00Z</cp:lastPrinted>
  <dcterms:created xsi:type="dcterms:W3CDTF">2022-08-22T11:10:00Z</dcterms:created>
  <dcterms:modified xsi:type="dcterms:W3CDTF">2022-08-29T00:44:00Z</dcterms:modified>
</cp:coreProperties>
</file>