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250" w:type="pct"/>
        <w:tblLook w:val="01E0" w:firstRow="1" w:lastRow="1" w:firstColumn="1" w:lastColumn="1" w:noHBand="0" w:noVBand="0"/>
      </w:tblPr>
      <w:tblGrid>
        <w:gridCol w:w="3258"/>
        <w:gridCol w:w="6268"/>
      </w:tblGrid>
      <w:tr w:rsidR="00AA524B" w:rsidRPr="00D07818" w14:paraId="343655FC" w14:textId="77777777" w:rsidTr="00F33DA8">
        <w:tc>
          <w:tcPr>
            <w:tcW w:w="1710" w:type="pct"/>
          </w:tcPr>
          <w:p w14:paraId="3120E2EB" w14:textId="7993D842" w:rsidR="00AA524B" w:rsidRPr="00167D94" w:rsidRDefault="00416AD0" w:rsidP="0021772C">
            <w:pPr>
              <w:widowControl w:val="0"/>
              <w:tabs>
                <w:tab w:val="right" w:leader="dot" w:pos="7920"/>
              </w:tabs>
              <w:ind w:firstLine="567"/>
              <w:jc w:val="center"/>
              <w:rPr>
                <w:b/>
                <w:sz w:val="26"/>
                <w:szCs w:val="26"/>
              </w:rPr>
            </w:pPr>
            <w:r>
              <w:rPr>
                <w:b/>
                <w:sz w:val="26"/>
                <w:szCs w:val="26"/>
              </w:rPr>
              <w:t>ỦY</w:t>
            </w:r>
            <w:r w:rsidR="00F33DA8">
              <w:rPr>
                <w:b/>
                <w:sz w:val="26"/>
                <w:szCs w:val="26"/>
              </w:rPr>
              <w:t xml:space="preserve"> BAN NHÂN DÂN</w:t>
            </w:r>
            <w:r w:rsidR="00AA524B" w:rsidRPr="00167D94">
              <w:rPr>
                <w:b/>
                <w:sz w:val="26"/>
                <w:szCs w:val="26"/>
              </w:rPr>
              <w:t xml:space="preserve"> </w:t>
            </w:r>
          </w:p>
          <w:p w14:paraId="55AE1F12" w14:textId="77777777" w:rsidR="00AA524B" w:rsidRPr="00167D94" w:rsidRDefault="00AA524B" w:rsidP="0021772C">
            <w:pPr>
              <w:widowControl w:val="0"/>
              <w:tabs>
                <w:tab w:val="right" w:leader="dot" w:pos="7920"/>
              </w:tabs>
              <w:ind w:firstLine="567"/>
              <w:jc w:val="center"/>
              <w:rPr>
                <w:b/>
                <w:sz w:val="26"/>
                <w:szCs w:val="26"/>
                <w:vertAlign w:val="superscript"/>
              </w:rPr>
            </w:pPr>
            <w:r>
              <w:rPr>
                <w:b/>
                <w:noProof/>
                <w:sz w:val="26"/>
                <w:szCs w:val="26"/>
              </w:rPr>
              <mc:AlternateContent>
                <mc:Choice Requires="wps">
                  <w:drawing>
                    <wp:anchor distT="0" distB="0" distL="114300" distR="114300" simplePos="0" relativeHeight="251660288" behindDoc="0" locked="0" layoutInCell="1" allowOverlap="1" wp14:anchorId="0D94745D" wp14:editId="1340BEDF">
                      <wp:simplePos x="0" y="0"/>
                      <wp:positionH relativeFrom="column">
                        <wp:posOffset>624840</wp:posOffset>
                      </wp:positionH>
                      <wp:positionV relativeFrom="paragraph">
                        <wp:posOffset>219075</wp:posOffset>
                      </wp:positionV>
                      <wp:extent cx="731520" cy="0"/>
                      <wp:effectExtent l="9525" t="7620" r="1143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83B06"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pt,17.25pt" to="106.8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oi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"/>
                  </w:pict>
                </mc:Fallback>
              </mc:AlternateContent>
            </w:r>
            <w:r w:rsidR="00F33DA8">
              <w:rPr>
                <w:b/>
                <w:sz w:val="26"/>
                <w:szCs w:val="26"/>
              </w:rPr>
              <w:t>TỈNH HÀ TĨNH</w:t>
            </w:r>
            <w:r w:rsidRPr="00167D94">
              <w:rPr>
                <w:b/>
                <w:sz w:val="26"/>
                <w:szCs w:val="26"/>
              </w:rPr>
              <w:br/>
            </w:r>
          </w:p>
        </w:tc>
        <w:tc>
          <w:tcPr>
            <w:tcW w:w="3290" w:type="pct"/>
          </w:tcPr>
          <w:p w14:paraId="13EADD3E" w14:textId="77777777" w:rsidR="00AA524B" w:rsidRPr="00167D94" w:rsidRDefault="00AA524B" w:rsidP="0021772C">
            <w:pPr>
              <w:widowControl w:val="0"/>
              <w:tabs>
                <w:tab w:val="right" w:leader="dot" w:pos="7920"/>
              </w:tabs>
              <w:ind w:firstLine="567"/>
              <w:jc w:val="center"/>
              <w:rPr>
                <w:sz w:val="26"/>
                <w:szCs w:val="26"/>
                <w:vertAlign w:val="superscript"/>
              </w:rPr>
            </w:pPr>
            <w:r>
              <w:rPr>
                <w:b/>
                <w:noProof/>
                <w:sz w:val="26"/>
                <w:szCs w:val="26"/>
              </w:rPr>
              <mc:AlternateContent>
                <mc:Choice Requires="wps">
                  <w:drawing>
                    <wp:anchor distT="0" distB="0" distL="114300" distR="114300" simplePos="0" relativeHeight="251659264" behindDoc="0" locked="0" layoutInCell="1" allowOverlap="1" wp14:anchorId="35E7357F" wp14:editId="01FC23BB">
                      <wp:simplePos x="0" y="0"/>
                      <wp:positionH relativeFrom="column">
                        <wp:posOffset>909320</wp:posOffset>
                      </wp:positionH>
                      <wp:positionV relativeFrom="paragraph">
                        <wp:posOffset>408940</wp:posOffset>
                      </wp:positionV>
                      <wp:extent cx="1935480" cy="0"/>
                      <wp:effectExtent l="7620" t="7620" r="952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8DDE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32.2pt" to="224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Vjb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"/>
                  </w:pict>
                </mc:Fallback>
              </mc:AlternateContent>
            </w:r>
            <w:r w:rsidRPr="00167D94">
              <w:rPr>
                <w:b/>
                <w:sz w:val="26"/>
                <w:szCs w:val="26"/>
              </w:rPr>
              <w:t>CỘNG HÒA XÃ HỘI CHỦ NGHĨA VIỆT NAM</w:t>
            </w:r>
            <w:r w:rsidRPr="00167D94">
              <w:rPr>
                <w:b/>
                <w:sz w:val="26"/>
                <w:szCs w:val="26"/>
              </w:rPr>
              <w:br/>
            </w:r>
            <w:r w:rsidRPr="0021772C">
              <w:rPr>
                <w:b/>
              </w:rPr>
              <w:t xml:space="preserve">Độc lập - Tự do - Hạnh phúc </w:t>
            </w:r>
            <w:r w:rsidRPr="00167D94">
              <w:rPr>
                <w:b/>
                <w:sz w:val="26"/>
                <w:szCs w:val="26"/>
              </w:rPr>
              <w:br/>
            </w:r>
          </w:p>
        </w:tc>
      </w:tr>
      <w:tr w:rsidR="00AA524B" w:rsidRPr="00D07818" w14:paraId="5B534727" w14:textId="77777777" w:rsidTr="00F33DA8">
        <w:tc>
          <w:tcPr>
            <w:tcW w:w="1710" w:type="pct"/>
          </w:tcPr>
          <w:p w14:paraId="238D82CF" w14:textId="77777777" w:rsidR="00AA524B" w:rsidRPr="00167D94" w:rsidRDefault="00AA524B" w:rsidP="0021772C">
            <w:pPr>
              <w:widowControl w:val="0"/>
              <w:tabs>
                <w:tab w:val="right" w:leader="dot" w:pos="7920"/>
              </w:tabs>
              <w:ind w:firstLine="567"/>
              <w:jc w:val="center"/>
              <w:rPr>
                <w:sz w:val="26"/>
                <w:szCs w:val="26"/>
              </w:rPr>
            </w:pPr>
            <w:r w:rsidRPr="00CB341A">
              <w:rPr>
                <w:szCs w:val="26"/>
              </w:rPr>
              <w:t>Số:</w:t>
            </w:r>
            <w:r w:rsidR="00CB341A">
              <w:rPr>
                <w:szCs w:val="26"/>
              </w:rPr>
              <w:t xml:space="preserve">       </w:t>
            </w:r>
            <w:r w:rsidR="00F33DA8" w:rsidRPr="00CB341A">
              <w:rPr>
                <w:szCs w:val="26"/>
              </w:rPr>
              <w:t>/TTr-UBND</w:t>
            </w:r>
          </w:p>
        </w:tc>
        <w:tc>
          <w:tcPr>
            <w:tcW w:w="3290" w:type="pct"/>
          </w:tcPr>
          <w:p w14:paraId="06E00603" w14:textId="5FF40A26" w:rsidR="00AA524B" w:rsidRPr="00167D94" w:rsidRDefault="00F33DA8" w:rsidP="0021772C">
            <w:pPr>
              <w:widowControl w:val="0"/>
              <w:tabs>
                <w:tab w:val="right" w:leader="dot" w:pos="7920"/>
              </w:tabs>
              <w:ind w:firstLine="567"/>
              <w:jc w:val="center"/>
              <w:rPr>
                <w:i/>
                <w:sz w:val="26"/>
                <w:szCs w:val="26"/>
              </w:rPr>
            </w:pPr>
            <w:r w:rsidRPr="00CB341A">
              <w:rPr>
                <w:i/>
                <w:szCs w:val="26"/>
              </w:rPr>
              <w:t>Hà Tĩnh,</w:t>
            </w:r>
            <w:r w:rsidR="00C712D0" w:rsidRPr="00CB341A">
              <w:rPr>
                <w:i/>
                <w:szCs w:val="26"/>
              </w:rPr>
              <w:t xml:space="preserve"> ngày         </w:t>
            </w:r>
            <w:r w:rsidR="00AA524B" w:rsidRPr="00CB341A">
              <w:rPr>
                <w:i/>
                <w:szCs w:val="26"/>
              </w:rPr>
              <w:t xml:space="preserve"> tháng</w:t>
            </w:r>
            <w:r w:rsidRPr="00CB341A">
              <w:rPr>
                <w:i/>
                <w:szCs w:val="26"/>
              </w:rPr>
              <w:t xml:space="preserve"> </w:t>
            </w:r>
            <w:r w:rsidR="00C36F92">
              <w:rPr>
                <w:i/>
                <w:szCs w:val="26"/>
              </w:rPr>
              <w:t xml:space="preserve">    </w:t>
            </w:r>
            <w:r w:rsidRPr="00CB341A">
              <w:rPr>
                <w:i/>
                <w:szCs w:val="26"/>
              </w:rPr>
              <w:t xml:space="preserve"> </w:t>
            </w:r>
            <w:r w:rsidR="00AA524B" w:rsidRPr="00CB341A">
              <w:rPr>
                <w:i/>
                <w:szCs w:val="26"/>
              </w:rPr>
              <w:t>năm 20</w:t>
            </w:r>
            <w:r w:rsidRPr="00CB341A">
              <w:rPr>
                <w:i/>
                <w:szCs w:val="26"/>
              </w:rPr>
              <w:t>24</w:t>
            </w:r>
          </w:p>
        </w:tc>
      </w:tr>
    </w:tbl>
    <w:p w14:paraId="24DD8780" w14:textId="77777777" w:rsidR="00AA524B" w:rsidRPr="00D07818" w:rsidRDefault="00AA524B" w:rsidP="0021772C">
      <w:pPr>
        <w:widowControl w:val="0"/>
        <w:tabs>
          <w:tab w:val="right" w:leader="dot" w:pos="7920"/>
        </w:tabs>
        <w:spacing w:line="420" w:lineRule="exact"/>
        <w:ind w:firstLine="567"/>
        <w:jc w:val="center"/>
        <w:rPr>
          <w:b/>
        </w:rPr>
      </w:pPr>
    </w:p>
    <w:p w14:paraId="49EA179F" w14:textId="77777777" w:rsidR="00A42D5F" w:rsidRDefault="00A42D5F" w:rsidP="0021772C">
      <w:pPr>
        <w:widowControl w:val="0"/>
        <w:tabs>
          <w:tab w:val="right" w:leader="dot" w:pos="7920"/>
        </w:tabs>
        <w:ind w:firstLine="567"/>
        <w:jc w:val="center"/>
        <w:rPr>
          <w:b/>
        </w:rPr>
      </w:pPr>
    </w:p>
    <w:p w14:paraId="61A3F54B" w14:textId="4B7E5E07" w:rsidR="00AA524B" w:rsidRPr="00D07818" w:rsidRDefault="00AA524B" w:rsidP="0021772C">
      <w:pPr>
        <w:widowControl w:val="0"/>
        <w:tabs>
          <w:tab w:val="right" w:leader="dot" w:pos="7920"/>
        </w:tabs>
        <w:jc w:val="center"/>
        <w:rPr>
          <w:b/>
        </w:rPr>
      </w:pPr>
      <w:r w:rsidRPr="00D07818">
        <w:rPr>
          <w:b/>
        </w:rPr>
        <w:t>TỜ TRÌNH</w:t>
      </w:r>
    </w:p>
    <w:p w14:paraId="6A061622" w14:textId="4F7FCA2C" w:rsidR="00F33DA8" w:rsidRDefault="00C36F92" w:rsidP="0021772C">
      <w:pPr>
        <w:widowControl w:val="0"/>
        <w:tabs>
          <w:tab w:val="right" w:leader="dot" w:pos="7920"/>
        </w:tabs>
        <w:jc w:val="center"/>
        <w:rPr>
          <w:b/>
        </w:rPr>
      </w:pPr>
      <w:r>
        <w:rPr>
          <w:b/>
        </w:rPr>
        <w:t>Dự thảo</w:t>
      </w:r>
      <w:r w:rsidR="00F33DA8">
        <w:rPr>
          <w:b/>
        </w:rPr>
        <w:t xml:space="preserve"> </w:t>
      </w:r>
      <w:r w:rsidR="00F33DA8" w:rsidRPr="00F33DA8">
        <w:rPr>
          <w:b/>
        </w:rPr>
        <w:t xml:space="preserve">Nghị quyết quy định mức chi </w:t>
      </w:r>
      <w:r w:rsidR="00FB355C">
        <w:rPr>
          <w:b/>
        </w:rPr>
        <w:t>thực hiện</w:t>
      </w:r>
      <w:r w:rsidR="00F33DA8" w:rsidRPr="00F33DA8">
        <w:rPr>
          <w:b/>
        </w:rPr>
        <w:t xml:space="preserve"> </w:t>
      </w:r>
    </w:p>
    <w:p w14:paraId="540B3976" w14:textId="77777777" w:rsidR="00416AD0" w:rsidRDefault="00F33DA8" w:rsidP="0021772C">
      <w:pPr>
        <w:widowControl w:val="0"/>
        <w:tabs>
          <w:tab w:val="right" w:leader="dot" w:pos="7920"/>
        </w:tabs>
        <w:jc w:val="center"/>
        <w:rPr>
          <w:b/>
        </w:rPr>
      </w:pPr>
      <w:r w:rsidRPr="00F33DA8">
        <w:rPr>
          <w:b/>
        </w:rPr>
        <w:t>c</w:t>
      </w:r>
      <w:r>
        <w:rPr>
          <w:b/>
        </w:rPr>
        <w:t>ông tác phổ biến, giáo dục pháp</w:t>
      </w:r>
      <w:r w:rsidR="00C712D0">
        <w:rPr>
          <w:b/>
        </w:rPr>
        <w:t xml:space="preserve"> </w:t>
      </w:r>
      <w:r w:rsidRPr="00F33DA8">
        <w:rPr>
          <w:b/>
        </w:rPr>
        <w:t xml:space="preserve">luật, chuẩn tiếp cận pháp luật </w:t>
      </w:r>
    </w:p>
    <w:p w14:paraId="068C1908" w14:textId="1596C4DE" w:rsidR="00AA524B" w:rsidRPr="00D07818" w:rsidRDefault="00F33DA8" w:rsidP="0021772C">
      <w:pPr>
        <w:widowControl w:val="0"/>
        <w:tabs>
          <w:tab w:val="right" w:leader="dot" w:pos="7920"/>
        </w:tabs>
        <w:jc w:val="center"/>
        <w:rPr>
          <w:b/>
        </w:rPr>
      </w:pPr>
      <w:r w:rsidRPr="00F33DA8">
        <w:rPr>
          <w:b/>
        </w:rPr>
        <w:t>và hòa giải ở cơ sở trên địa bàn tỉnh</w:t>
      </w:r>
      <w:r>
        <w:rPr>
          <w:b/>
        </w:rPr>
        <w:t xml:space="preserve"> Hà Tĩnh</w:t>
      </w:r>
    </w:p>
    <w:p w14:paraId="47A8F2FD" w14:textId="77777777" w:rsidR="00AA524B" w:rsidRDefault="00AA524B" w:rsidP="0021772C">
      <w:pPr>
        <w:widowControl w:val="0"/>
        <w:tabs>
          <w:tab w:val="right" w:leader="dot" w:pos="7920"/>
        </w:tabs>
        <w:spacing w:line="420" w:lineRule="exact"/>
        <w:jc w:val="center"/>
      </w:pPr>
      <w:r>
        <w:rPr>
          <w:noProof/>
        </w:rPr>
        <mc:AlternateContent>
          <mc:Choice Requires="wps">
            <w:drawing>
              <wp:anchor distT="0" distB="0" distL="114300" distR="114300" simplePos="0" relativeHeight="251661312" behindDoc="0" locked="0" layoutInCell="1" allowOverlap="1" wp14:anchorId="40F36133" wp14:editId="53E4B812">
                <wp:simplePos x="0" y="0"/>
                <wp:positionH relativeFrom="column">
                  <wp:posOffset>2148205</wp:posOffset>
                </wp:positionH>
                <wp:positionV relativeFrom="paragraph">
                  <wp:posOffset>35560</wp:posOffset>
                </wp:positionV>
                <wp:extent cx="13239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2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7C820"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15pt,2.8pt" to="273.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"/>
            </w:pict>
          </mc:Fallback>
        </mc:AlternateContent>
      </w:r>
    </w:p>
    <w:p w14:paraId="377EBEC2" w14:textId="2593C7D5" w:rsidR="00AA524B" w:rsidRPr="00D07818" w:rsidRDefault="00AA524B" w:rsidP="0021772C">
      <w:pPr>
        <w:widowControl w:val="0"/>
        <w:tabs>
          <w:tab w:val="right" w:leader="dot" w:pos="7920"/>
        </w:tabs>
        <w:spacing w:line="420" w:lineRule="exact"/>
        <w:jc w:val="center"/>
      </w:pPr>
      <w:r w:rsidRPr="00D07818">
        <w:t>Kính gửi:</w:t>
      </w:r>
      <w:r w:rsidR="00F33DA8">
        <w:t xml:space="preserve"> </w:t>
      </w:r>
      <w:r w:rsidR="00C36F92">
        <w:t>Hội đồng nhân dân</w:t>
      </w:r>
      <w:r w:rsidR="00F33DA8">
        <w:t xml:space="preserve"> tỉnh</w:t>
      </w:r>
    </w:p>
    <w:p w14:paraId="1468F311" w14:textId="77777777" w:rsidR="00AA524B" w:rsidRPr="00D07818" w:rsidRDefault="00AA524B" w:rsidP="0021772C">
      <w:pPr>
        <w:widowControl w:val="0"/>
        <w:tabs>
          <w:tab w:val="right" w:leader="dot" w:pos="7920"/>
        </w:tabs>
        <w:spacing w:line="420" w:lineRule="exact"/>
        <w:ind w:firstLine="567"/>
        <w:jc w:val="center"/>
        <w:rPr>
          <w:sz w:val="8"/>
        </w:rPr>
      </w:pPr>
    </w:p>
    <w:p w14:paraId="19419DCF" w14:textId="4A32D6E4" w:rsidR="00AA524B" w:rsidRPr="00D07818" w:rsidRDefault="00CB341A" w:rsidP="0021772C">
      <w:pPr>
        <w:widowControl w:val="0"/>
        <w:spacing w:before="60"/>
        <w:ind w:firstLine="567"/>
        <w:jc w:val="both"/>
      </w:pPr>
      <w:r>
        <w:tab/>
      </w:r>
      <w:bookmarkStart w:id="0" w:name="_Hlk162875476"/>
      <w:r w:rsidR="00AA524B" w:rsidRPr="00D07818">
        <w:t>Thực hiện quy định của Luật Ban hành văn bản quy phạm pháp luật</w:t>
      </w:r>
      <w:r w:rsidR="00C22746">
        <w:t xml:space="preserve"> năm 2015 (</w:t>
      </w:r>
      <w:r w:rsidR="00F33DA8">
        <w:t>được sửa đổi, bổ sung năm 2020</w:t>
      </w:r>
      <w:r w:rsidR="00C22746">
        <w:t xml:space="preserve">), </w:t>
      </w:r>
      <w:r w:rsidR="00C22746" w:rsidRPr="009044EB">
        <w:rPr>
          <w:spacing w:val="-2"/>
          <w:lang w:val="pt-BR"/>
        </w:rPr>
        <w:t>Nghị quyết số 1</w:t>
      </w:r>
      <w:r w:rsidR="00C22746">
        <w:rPr>
          <w:spacing w:val="-2"/>
          <w:lang w:val="pt-BR"/>
        </w:rPr>
        <w:t>45</w:t>
      </w:r>
      <w:r w:rsidR="00C22746" w:rsidRPr="009044EB">
        <w:rPr>
          <w:spacing w:val="-2"/>
          <w:lang w:val="pt-BR"/>
        </w:rPr>
        <w:t xml:space="preserve">/NQ-HĐND ngày </w:t>
      </w:r>
      <w:r w:rsidR="00C22746">
        <w:rPr>
          <w:spacing w:val="-2"/>
          <w:lang w:val="pt-BR"/>
        </w:rPr>
        <w:t>08/12/2023</w:t>
      </w:r>
      <w:r w:rsidR="00C22746" w:rsidRPr="009044EB">
        <w:rPr>
          <w:spacing w:val="-2"/>
          <w:lang w:val="pt-BR"/>
        </w:rPr>
        <w:t xml:space="preserve"> </w:t>
      </w:r>
      <w:r w:rsidR="00C22746">
        <w:rPr>
          <w:spacing w:val="-2"/>
          <w:lang w:val="pt-BR"/>
        </w:rPr>
        <w:t xml:space="preserve">của Hội đồng nhân dân tỉnh </w:t>
      </w:r>
      <w:r w:rsidR="00C22746" w:rsidRPr="009044EB">
        <w:rPr>
          <w:spacing w:val="-2"/>
          <w:lang w:val="pt-BR"/>
        </w:rPr>
        <w:t xml:space="preserve">về </w:t>
      </w:r>
      <w:r w:rsidR="00C22746" w:rsidRPr="009044EB">
        <w:rPr>
          <w:lang w:val="pt-BR"/>
        </w:rPr>
        <w:t>kế hoạch tổ chức các Kỳ họp thường lệ năm 202</w:t>
      </w:r>
      <w:r w:rsidR="00C22746">
        <w:rPr>
          <w:lang w:val="pt-BR"/>
        </w:rPr>
        <w:t>4</w:t>
      </w:r>
      <w:r w:rsidR="00C22746" w:rsidRPr="009044EB">
        <w:rPr>
          <w:lang w:val="pt-BR"/>
        </w:rPr>
        <w:t xml:space="preserve"> của Hội đồ</w:t>
      </w:r>
      <w:r w:rsidR="00C22746">
        <w:rPr>
          <w:lang w:val="pt-BR"/>
        </w:rPr>
        <w:t xml:space="preserve">ng nhân dân </w:t>
      </w:r>
      <w:r w:rsidR="00C22746" w:rsidRPr="009044EB">
        <w:rPr>
          <w:lang w:val="pt-BR"/>
        </w:rPr>
        <w:t>tỉnh khóa XVI</w:t>
      </w:r>
      <w:r w:rsidR="00C22746">
        <w:rPr>
          <w:lang w:val="pt-BR"/>
        </w:rPr>
        <w:t>II</w:t>
      </w:r>
      <w:bookmarkEnd w:id="0"/>
      <w:r w:rsidR="00C22746">
        <w:rPr>
          <w:lang w:val="pt-BR"/>
        </w:rPr>
        <w:t>;</w:t>
      </w:r>
      <w:r w:rsidR="00C22746" w:rsidRPr="009044EB">
        <w:rPr>
          <w:lang w:val="pt-BR"/>
        </w:rPr>
        <w:t xml:space="preserve"> </w:t>
      </w:r>
      <w:r w:rsidR="00C22746">
        <w:rPr>
          <w:lang w:val="pt-BR"/>
        </w:rPr>
        <w:t>xét đề nghị của Sở Tư pháp tại Văn bản số ..../STP-PBGDPL</w:t>
      </w:r>
      <w:r w:rsidR="00651D87">
        <w:rPr>
          <w:lang w:val="pt-BR"/>
        </w:rPr>
        <w:t xml:space="preserve"> và </w:t>
      </w:r>
      <w:r w:rsidR="00651D87" w:rsidRPr="00651D87">
        <w:rPr>
          <w:lang w:val="pt-BR"/>
        </w:rPr>
        <w:t xml:space="preserve">ý kiến thống nhất của thành viên </w:t>
      </w:r>
      <w:r w:rsidR="00651D87" w:rsidRPr="00651D87">
        <w:t>Uỷ ban nhân dân</w:t>
      </w:r>
      <w:r w:rsidR="00651D87" w:rsidRPr="00651D87">
        <w:rPr>
          <w:lang w:val="pt-BR"/>
        </w:rPr>
        <w:t xml:space="preserve"> tỉnh...</w:t>
      </w:r>
      <w:r w:rsidR="00F33DA8" w:rsidRPr="00651D87">
        <w:t xml:space="preserve">, </w:t>
      </w:r>
      <w:r w:rsidR="00F33DA8">
        <w:t>Uỷ ban nhân dân tỉnh</w:t>
      </w:r>
      <w:r w:rsidR="00AA524B" w:rsidRPr="00D07818">
        <w:t xml:space="preserve"> kính trình</w:t>
      </w:r>
      <w:r w:rsidR="00F33DA8">
        <w:t xml:space="preserve"> </w:t>
      </w:r>
      <w:r w:rsidR="00C36F92">
        <w:t>Hội đồng nhân dân</w:t>
      </w:r>
      <w:r w:rsidR="00F33DA8">
        <w:t xml:space="preserve"> tỉnh</w:t>
      </w:r>
      <w:r w:rsidR="00AA524B" w:rsidRPr="00D07818">
        <w:t xml:space="preserve"> </w:t>
      </w:r>
      <w:r w:rsidR="00C36F92">
        <w:t>dự thảo</w:t>
      </w:r>
      <w:r w:rsidR="00F33DA8" w:rsidRPr="00F33DA8">
        <w:t xml:space="preserve"> </w:t>
      </w:r>
      <w:bookmarkStart w:id="1" w:name="_Hlk162875337"/>
      <w:r w:rsidR="00F33DA8">
        <w:t xml:space="preserve">Nghị quyết quy định mức chi </w:t>
      </w:r>
      <w:r w:rsidR="00E80D7D">
        <w:t>thực hiện</w:t>
      </w:r>
      <w:r w:rsidR="00F33DA8">
        <w:t xml:space="preserve"> công tác phổ biến, giáo dục pháp</w:t>
      </w:r>
      <w:r w:rsidR="00416AD0">
        <w:t xml:space="preserve"> </w:t>
      </w:r>
      <w:r w:rsidR="00F33DA8">
        <w:t xml:space="preserve">luật, chuẩn tiếp cận pháp luật và hòa giải ở cơ sở trên địa bàn tỉnh Hà Tĩnh </w:t>
      </w:r>
      <w:bookmarkEnd w:id="1"/>
      <w:r w:rsidR="00AA524B" w:rsidRPr="00D07818">
        <w:t>như sau:</w:t>
      </w:r>
    </w:p>
    <w:p w14:paraId="054FBE62" w14:textId="77777777" w:rsidR="00AA524B" w:rsidRPr="00D07818" w:rsidRDefault="00CB341A" w:rsidP="0021772C">
      <w:pPr>
        <w:widowControl w:val="0"/>
        <w:spacing w:before="60"/>
        <w:ind w:firstLine="567"/>
        <w:jc w:val="both"/>
        <w:rPr>
          <w:b/>
        </w:rPr>
      </w:pPr>
      <w:r>
        <w:rPr>
          <w:b/>
        </w:rPr>
        <w:tab/>
      </w:r>
      <w:r w:rsidR="00AA524B" w:rsidRPr="00D07818">
        <w:rPr>
          <w:b/>
        </w:rPr>
        <w:t xml:space="preserve">I. SỰ CẦN THIẾT BAN HÀNH </w:t>
      </w:r>
      <w:r w:rsidR="00824F9F">
        <w:rPr>
          <w:b/>
        </w:rPr>
        <w:t>NGHỊ QUYẾT</w:t>
      </w:r>
    </w:p>
    <w:p w14:paraId="5F476135" w14:textId="1E4A6277" w:rsidR="00F33DA8" w:rsidRDefault="00CB341A" w:rsidP="0021772C">
      <w:pPr>
        <w:widowControl w:val="0"/>
        <w:spacing w:before="60"/>
        <w:ind w:firstLine="567"/>
        <w:jc w:val="both"/>
      </w:pPr>
      <w:r>
        <w:tab/>
      </w:r>
      <w:r w:rsidR="00F33DA8">
        <w:t xml:space="preserve">Căn cứ Thông tư liên tịch số 14/2014/TTLT-BTC-BTP ngày 27/01/2014 của Bộ Tài chính và Bộ Tư pháp quy định việc lập, quản lý, sử dụng và quyết toán kinh phí bảo đảm cho công tác phổ biến, giáo dục pháp luật và chuẩn tiếp cận pháp luật của người dân tại cơ sở và Thông tư liên tịch </w:t>
      </w:r>
      <w:r w:rsidR="00E84330">
        <w:t>số 100/2014/TTLT-BTC-BTP</w:t>
      </w:r>
      <w:r w:rsidR="00F33DA8">
        <w:t xml:space="preserve"> ngày 30/7/2014 của Bộ Tài chính và Bộ Tư pháp quy định việc lập, quản lý, sử dụng và quyết toán kinh phí ngân sách nhà nước thực hiện công tác hòa giải ở cơ sở, HĐND tỉnh đã ban hành Nghị quyết số </w:t>
      </w:r>
      <w:r w:rsidR="00C712D0" w:rsidRPr="00C712D0">
        <w:t>166/2015/NQ-HĐND</w:t>
      </w:r>
      <w:r w:rsidR="00C712D0">
        <w:t xml:space="preserve"> ngày 12/12/2015  q</w:t>
      </w:r>
      <w:r w:rsidR="00C712D0" w:rsidRPr="00C712D0">
        <w:t>uy định mức chi thực hiện công tác phổ biến, giáo dục pháp luật và công tác hòa giải ở cơ sở trên địa bàn tỉnh</w:t>
      </w:r>
      <w:r w:rsidR="00C712D0">
        <w:t>.</w:t>
      </w:r>
    </w:p>
    <w:p w14:paraId="50692384" w14:textId="77777777" w:rsidR="00035C03" w:rsidRDefault="00CB341A" w:rsidP="0021772C">
      <w:pPr>
        <w:widowControl w:val="0"/>
        <w:spacing w:before="60"/>
        <w:ind w:firstLine="567"/>
        <w:jc w:val="both"/>
      </w:pPr>
      <w:r>
        <w:tab/>
      </w:r>
      <w:r w:rsidR="00766AF1">
        <w:t>T</w:t>
      </w:r>
      <w:r w:rsidR="00F33DA8">
        <w:t xml:space="preserve">uy nhiên, ngày 18/8/2023, </w:t>
      </w:r>
      <w:r w:rsidR="004E4048">
        <w:t xml:space="preserve">Bộ trưởng </w:t>
      </w:r>
      <w:r w:rsidR="00F33DA8">
        <w:t xml:space="preserve">Bộ Tài chính đã ban hành Thông tư số 56/2023/TT-BTC quy định việc lập dự toán, quản lý, sử dụng và quyết toán kinh phí bảo đảm cho công tác phổ biến, giáo dục pháp luật, chuẩn tiếp cận pháp luật và hòa giải cơ sở. Theo đó, kể từ ngày Thông tư số 56/2023/TT-BTC có hiệu lực thi </w:t>
      </w:r>
      <w:r w:rsidR="00F33DA8" w:rsidRPr="004E4048">
        <w:rPr>
          <w:color w:val="000000" w:themeColor="text1"/>
        </w:rPr>
        <w:t xml:space="preserve">hành (ngày </w:t>
      </w:r>
      <w:r w:rsidR="004E4048" w:rsidRPr="004E4048">
        <w:rPr>
          <w:color w:val="000000" w:themeColor="text1"/>
        </w:rPr>
        <w:t>06/10/2023</w:t>
      </w:r>
      <w:r w:rsidR="00F33DA8" w:rsidRPr="004E4048">
        <w:rPr>
          <w:color w:val="000000" w:themeColor="text1"/>
        </w:rPr>
        <w:t xml:space="preserve">) thì </w:t>
      </w:r>
      <w:r w:rsidR="00F33DA8">
        <w:t>Thông tư liên tịch số 14/2014/TTLT-BTC-BTP và Thông tư liên tịch số 100/2014/TTLT-BTC-BTP hết hiệu lực</w:t>
      </w:r>
      <w:r w:rsidR="00766AF1">
        <w:t>.</w:t>
      </w:r>
      <w:r w:rsidR="00035C03">
        <w:t xml:space="preserve"> </w:t>
      </w:r>
    </w:p>
    <w:p w14:paraId="6C84630E" w14:textId="6B0987EA" w:rsidR="00F33DA8" w:rsidRDefault="00035C03" w:rsidP="0021772C">
      <w:pPr>
        <w:widowControl w:val="0"/>
        <w:spacing w:before="60"/>
        <w:ind w:firstLine="567"/>
        <w:jc w:val="both"/>
      </w:pPr>
      <w:r>
        <w:t xml:space="preserve">Qua rà soát cho thấy, Thông tư số 56/2023/TT-BTC đã sửa đổi, bổ sung những nội dung chi, mức chi để đáp ứng yêu cầu triển khai các </w:t>
      </w:r>
      <w:r w:rsidR="0086696C">
        <w:t>phổ biến, giáo dục pháp luật, hòa giải ở cơ sở và chuẩn tiếp cận pháp luật</w:t>
      </w:r>
      <w:r>
        <w:t xml:space="preserve"> </w:t>
      </w:r>
      <w:r w:rsidR="0086696C">
        <w:t xml:space="preserve">phù hợp với </w:t>
      </w:r>
      <w:r>
        <w:t xml:space="preserve">tình hình </w:t>
      </w:r>
      <w:r w:rsidR="0086696C">
        <w:t>và bối cảnh hiện nay cũng như xu thế phát triển của các lĩnh vực công tác này trong thời gian tới.</w:t>
      </w:r>
      <w:r w:rsidR="00CD7953">
        <w:t xml:space="preserve"> </w:t>
      </w:r>
      <w:r w:rsidR="00416AD0">
        <w:t xml:space="preserve">Trong đó một số mức chi cụ thể được điều chỉnh tăng lên 1,5 lần để phù hợp với mức trượt giá tiền lương cơ sở từ năm 2014 (thời điểm ban hành các </w:t>
      </w:r>
      <w:r w:rsidR="00416AD0">
        <w:lastRenderedPageBreak/>
        <w:t xml:space="preserve">Thông tư liên tịch số 14/2014/TTLT-BTC-BTP và Thông tư liên tịch số 100/2014/TTLT-BTC-BTP) đến thời điểm hiện tại. </w:t>
      </w:r>
      <w:r w:rsidR="0086696C">
        <w:t>Đồng thời</w:t>
      </w:r>
      <w:r w:rsidR="00416AD0">
        <w:t xml:space="preserve">, Thông tư đã </w:t>
      </w:r>
      <w:r w:rsidR="0086696C">
        <w:t>bổ sung</w:t>
      </w:r>
      <w:r w:rsidR="00416AD0">
        <w:t xml:space="preserve"> nhiều nội dung chi mới như</w:t>
      </w:r>
      <w:r w:rsidR="00CD7953">
        <w:t xml:space="preserve"> </w:t>
      </w:r>
      <w:r>
        <w:t>việc triển khai ứng dụng công nghệ thông tin, chuyển đổi số trong công tác PBGDPL (thù lao huy động chuyên gia, nhà khoa học, nhà hoạt động thực tiễn tham gia triển khai các nhiệm vụ của Hội đồng phối hợp phổ biến, giáo dục pháp luật; chi biên soạn đồ họa thông tin pháp luật; chi biên soạn sách nói pháp luật; chi biên soạn bài giảng điện tử …); nhiệm vụ mới trong đánh giá công nhận cấp xã đạt chuẩn tiếp cận pháp luật theo Quyết định số 25/2021/QĐ-TTg ngày 22/7/2021 của Thủ tướng Chính phủ (họp tư vấn, thẩm định hồ sơ đề nghị công nhận cấp xã đạt chuẩn tiếp cận pháp luật của Hội đồng đánh giá tiếp cận pháp luật…); nhiệm vụ truyền thông chính sách theo quy định tại Điều 2 Quyết định số 21/2021/QĐ-TTg ngày 21/6/2021 của Thủ tướng Chính phủ quy định về thành phần và nhiệm vụ, quyền hạn của Hội đồng phối hợp phổ biến, giáo dục pháp luật và việc triển khai các nhiệm vụ tại Quyết định số 407/QĐ-TTg ngày 30/3/2022 của Thủ tướng Chính phủ phê duyệt Đề án “Tổ chức truyền thông chính sách có tác động lớn đến xã hội trong quá trình xây dựng văn bản quy phạm pháp luật giai đoạn 2022 - 2027”</w:t>
      </w:r>
      <w:r w:rsidR="0086696C">
        <w:t xml:space="preserve">… Các nội dung chi mới này cũng được quy định các mức chi tương ứng tại Thông tư số 56/2023/TT-BTC. Bên cạnh đó </w:t>
      </w:r>
      <w:r>
        <w:t xml:space="preserve">Thông tư cũng sửa đổi cập nhật việc dẫn chiếu các văn bản quy định về kinh phí đối với các nhiệm vụ chi có tính chất tương tự trong công tác PBGDPL, chuẩn tiếp cận pháp luật và hòa giải ở cơ sở.  </w:t>
      </w:r>
    </w:p>
    <w:p w14:paraId="2DD903B4" w14:textId="77777777" w:rsidR="00660941" w:rsidRDefault="00766AF1" w:rsidP="0021772C">
      <w:pPr>
        <w:widowControl w:val="0"/>
        <w:spacing w:before="60"/>
        <w:ind w:firstLine="567"/>
        <w:jc w:val="both"/>
      </w:pPr>
      <w:r>
        <w:tab/>
      </w:r>
      <w:r w:rsidR="00F33DA8">
        <w:t xml:space="preserve">Đồng thời, tại khoản 1 Điều 5 Thông tư số 56/2023/TT-BTC quy định </w:t>
      </w:r>
      <w:r w:rsidR="00F33DA8" w:rsidRPr="00660941">
        <w:rPr>
          <w:i/>
        </w:rPr>
        <w:t>“Mức chi thực hiện công tác phổ biến, giáo dục pháp luật, chuẩn tiếp cận pháp luật và hòa giải ở cơ sở quy định tại Thông tư này là mức chi tối đa. Bộ trưởng, Thủ trưởng cơ quan ngang Bộ, cơ quan thuộc Chính phủ, các cơ quan khác ở trung ương quy định các mức chi cụ thể đối với các cơ quan, đơn vị trực thuộc để thực hiện cho phù hợp trong phạm vị dự toán ngân sách được giao và các nguồn kinh phí hợp pháp khác; Hội đồng nhân dân tỉnh, thành phố trực thuộc trung ương quy định các mức chi cụ thể để thực hiện cho phù hợp với tình hình thực hiện cho phù hợp vơi tình hình thực tiễn và khả năng cân đối của ngân sách địa phương. Trường hợp các bộ, cơ quan ngang bộ, cơ quan thuộc Chính phủ, các cơ quan khác ở trung ương, địa phương chưa ban hành văn bản quy định cụ thể mức chi thì các cơ quan, đơn vị được áp dụng quy định về mức chi tại Thông tư này để thực hiện”</w:t>
      </w:r>
      <w:r w:rsidR="00F33DA8">
        <w:t xml:space="preserve">. </w:t>
      </w:r>
    </w:p>
    <w:p w14:paraId="796FCE5A" w14:textId="40906606" w:rsidR="00F33DA8" w:rsidRDefault="00CB341A" w:rsidP="0021772C">
      <w:pPr>
        <w:widowControl w:val="0"/>
        <w:spacing w:before="60"/>
        <w:ind w:firstLine="567"/>
        <w:jc w:val="both"/>
      </w:pPr>
      <w:r>
        <w:tab/>
      </w:r>
      <w:r w:rsidR="00035C03">
        <w:t>Vì vậy, đ</w:t>
      </w:r>
      <w:r w:rsidR="00F33DA8">
        <w:t xml:space="preserve">ể </w:t>
      </w:r>
      <w:r w:rsidR="00660941">
        <w:t xml:space="preserve">đảm bảo cơ sở pháp lý </w:t>
      </w:r>
      <w:r w:rsidR="00F33DA8">
        <w:t>cho công tác phổ biến, giáo dục pháp luật, chuẩn tiếp cận pháp luật và hòa giải cơ sở trên đ</w:t>
      </w:r>
      <w:r w:rsidR="00660941">
        <w:t xml:space="preserve">ịa bàn tỉnh trong thời gian tới, </w:t>
      </w:r>
      <w:r w:rsidR="0086696C">
        <w:t xml:space="preserve">tạo động lực thúc đẩy, </w:t>
      </w:r>
      <w:r w:rsidR="0086696C" w:rsidRPr="009044EB">
        <w:rPr>
          <w:bCs/>
          <w:lang w:val="vi-VN" w:eastAsia="zh-CN"/>
        </w:rPr>
        <w:t>góp phần nâng cao chất lượng, hiệu quả</w:t>
      </w:r>
      <w:r w:rsidR="0086696C" w:rsidRPr="009044EB">
        <w:rPr>
          <w:bCs/>
          <w:lang w:eastAsia="zh-CN"/>
        </w:rPr>
        <w:t xml:space="preserve"> các</w:t>
      </w:r>
      <w:r w:rsidR="0086696C" w:rsidRPr="009044EB">
        <w:rPr>
          <w:bCs/>
          <w:lang w:val="vi-VN" w:eastAsia="zh-CN"/>
        </w:rPr>
        <w:t xml:space="preserve"> công tác </w:t>
      </w:r>
      <w:r w:rsidR="0086696C" w:rsidRPr="009044EB">
        <w:rPr>
          <w:bCs/>
          <w:lang w:eastAsia="zh-CN"/>
        </w:rPr>
        <w:t>này trên địa bàn tỉnh</w:t>
      </w:r>
      <w:r w:rsidR="0086696C">
        <w:rPr>
          <w:bCs/>
          <w:lang w:eastAsia="zh-CN"/>
        </w:rPr>
        <w:t>,</w:t>
      </w:r>
      <w:r w:rsidR="00660941">
        <w:t>Ủy ban nhân dân t</w:t>
      </w:r>
      <w:r w:rsidR="00F33DA8">
        <w:t xml:space="preserve">ỉnh trình </w:t>
      </w:r>
      <w:r w:rsidR="00660941">
        <w:t xml:space="preserve">Thường trực </w:t>
      </w:r>
      <w:r w:rsidR="00F33DA8">
        <w:t xml:space="preserve">Hội đồng nhân dân </w:t>
      </w:r>
      <w:r w:rsidR="00660941">
        <w:t>t</w:t>
      </w:r>
      <w:r w:rsidR="00F33DA8">
        <w:t xml:space="preserve">ỉnh </w:t>
      </w:r>
      <w:r w:rsidR="00660941">
        <w:t>chấp thuận đề nghị xây dựng</w:t>
      </w:r>
      <w:r w:rsidR="00F33DA8">
        <w:t xml:space="preserve"> Nghị quyết quy định nội dung và mức chi </w:t>
      </w:r>
      <w:r w:rsidR="00E80D7D">
        <w:t>thực hiện</w:t>
      </w:r>
      <w:r w:rsidR="00F33DA8">
        <w:t xml:space="preserve"> công tác phổ biến, giáo dục pháp luật, chuẩn tiếp cận pháp luật và hòa giải ở cơ sở trên địa bàn tỉnh Hà Tĩnh (thay </w:t>
      </w:r>
      <w:r w:rsidR="00F33DA8" w:rsidRPr="00CB341A">
        <w:rPr>
          <w:color w:val="000000" w:themeColor="text1"/>
        </w:rPr>
        <w:t xml:space="preserve">thế Nghị quyết số </w:t>
      </w:r>
      <w:r w:rsidRPr="00CB341A">
        <w:rPr>
          <w:color w:val="000000" w:themeColor="text1"/>
        </w:rPr>
        <w:t xml:space="preserve">166/2015/NQ-HĐND </w:t>
      </w:r>
      <w:r w:rsidR="00F33DA8" w:rsidRPr="00CB341A">
        <w:rPr>
          <w:color w:val="000000" w:themeColor="text1"/>
        </w:rPr>
        <w:t xml:space="preserve">của Hội đồng </w:t>
      </w:r>
      <w:r w:rsidR="00F33DA8">
        <w:t>nhân dâ</w:t>
      </w:r>
      <w:r w:rsidR="00660941">
        <w:t xml:space="preserve">n </w:t>
      </w:r>
      <w:r w:rsidR="00C22746">
        <w:t>t</w:t>
      </w:r>
      <w:r w:rsidR="00660941">
        <w:t>ỉnh).</w:t>
      </w:r>
    </w:p>
    <w:p w14:paraId="514C5B37" w14:textId="321F901F" w:rsidR="00AA524B" w:rsidRPr="00D07818" w:rsidRDefault="00CB341A" w:rsidP="0021772C">
      <w:pPr>
        <w:widowControl w:val="0"/>
        <w:spacing w:before="60"/>
        <w:ind w:firstLine="567"/>
        <w:jc w:val="both"/>
        <w:rPr>
          <w:b/>
        </w:rPr>
      </w:pPr>
      <w:r>
        <w:rPr>
          <w:b/>
        </w:rPr>
        <w:tab/>
      </w:r>
      <w:r w:rsidR="00AA524B" w:rsidRPr="00D07818">
        <w:rPr>
          <w:b/>
        </w:rPr>
        <w:t xml:space="preserve">II. MỤC ĐÍCH, QUAN ĐIỂM XÂY DỰNG </w:t>
      </w:r>
      <w:r w:rsidR="002E61FC">
        <w:rPr>
          <w:b/>
        </w:rPr>
        <w:t xml:space="preserve">DỰ THẢO </w:t>
      </w:r>
      <w:r w:rsidR="00824F9F">
        <w:rPr>
          <w:b/>
        </w:rPr>
        <w:t>NGHỊ QUYẾT</w:t>
      </w:r>
    </w:p>
    <w:p w14:paraId="79542505" w14:textId="77777777" w:rsidR="00AA524B" w:rsidRPr="00D07818" w:rsidRDefault="00CB341A" w:rsidP="0021772C">
      <w:pPr>
        <w:widowControl w:val="0"/>
        <w:spacing w:before="60"/>
        <w:ind w:firstLine="567"/>
        <w:jc w:val="both"/>
        <w:rPr>
          <w:b/>
        </w:rPr>
      </w:pPr>
      <w:r>
        <w:rPr>
          <w:b/>
        </w:rPr>
        <w:lastRenderedPageBreak/>
        <w:tab/>
      </w:r>
      <w:r w:rsidR="00AA524B" w:rsidRPr="00D07818">
        <w:rPr>
          <w:b/>
        </w:rPr>
        <w:t>1. Mục đích</w:t>
      </w:r>
    </w:p>
    <w:p w14:paraId="2C1D1B11" w14:textId="77777777" w:rsidR="00E84330" w:rsidRPr="009044EB" w:rsidRDefault="00E84330" w:rsidP="0021772C">
      <w:pPr>
        <w:widowControl w:val="0"/>
        <w:spacing w:before="60"/>
        <w:ind w:firstLine="567"/>
        <w:jc w:val="both"/>
        <w:rPr>
          <w:bCs/>
          <w:lang w:eastAsia="zh-CN"/>
        </w:rPr>
      </w:pPr>
      <w:r w:rsidRPr="009044EB">
        <w:rPr>
          <w:lang w:val="vi-VN"/>
        </w:rPr>
        <w:t xml:space="preserve">- </w:t>
      </w:r>
      <w:r w:rsidRPr="009044EB">
        <w:rPr>
          <w:bCs/>
          <w:lang w:val="vi-VN" w:eastAsia="zh-CN"/>
        </w:rPr>
        <w:t xml:space="preserve">Bảo đảm nguồn kinh phí cho công tác </w:t>
      </w:r>
      <w:r>
        <w:t>phổ biến, giáo dục pháp luật, chuẩn tiếp cận pháp luật và hòa giải ở cơ sở</w:t>
      </w:r>
      <w:r>
        <w:rPr>
          <w:bCs/>
          <w:lang w:val="vi-VN" w:eastAsia="zh-CN"/>
        </w:rPr>
        <w:t xml:space="preserve">, </w:t>
      </w:r>
      <w:r w:rsidRPr="009044EB">
        <w:rPr>
          <w:bCs/>
          <w:lang w:val="vi-VN" w:eastAsia="zh-CN"/>
        </w:rPr>
        <w:t>góp phần nâng cao chất lượng, hiệu quả</w:t>
      </w:r>
      <w:r w:rsidRPr="009044EB">
        <w:rPr>
          <w:bCs/>
          <w:lang w:eastAsia="zh-CN"/>
        </w:rPr>
        <w:t xml:space="preserve"> các</w:t>
      </w:r>
      <w:r w:rsidRPr="009044EB">
        <w:rPr>
          <w:bCs/>
          <w:lang w:val="vi-VN" w:eastAsia="zh-CN"/>
        </w:rPr>
        <w:t xml:space="preserve"> công tác </w:t>
      </w:r>
      <w:r w:rsidRPr="009044EB">
        <w:rPr>
          <w:bCs/>
          <w:lang w:eastAsia="zh-CN"/>
        </w:rPr>
        <w:t>này trên địa bàn tỉnh</w:t>
      </w:r>
      <w:r w:rsidRPr="009044EB">
        <w:rPr>
          <w:lang w:val="vi-VN"/>
        </w:rPr>
        <w:t>.</w:t>
      </w:r>
    </w:p>
    <w:p w14:paraId="73A42487" w14:textId="77777777" w:rsidR="00F33DA8" w:rsidRDefault="00E84330" w:rsidP="0021772C">
      <w:pPr>
        <w:widowControl w:val="0"/>
        <w:spacing w:before="60"/>
        <w:ind w:firstLine="567"/>
        <w:jc w:val="both"/>
      </w:pPr>
      <w:r w:rsidRPr="009044EB">
        <w:t xml:space="preserve">- </w:t>
      </w:r>
      <w:r w:rsidRPr="009044EB">
        <w:rPr>
          <w:lang w:val="vi-VN"/>
        </w:rPr>
        <w:t xml:space="preserve">Làm cơ sở để </w:t>
      </w:r>
      <w:r w:rsidRPr="009044EB">
        <w:rPr>
          <w:shd w:val="clear" w:color="auto" w:fill="FFFFFF"/>
          <w:lang w:val="vi-VN"/>
        </w:rPr>
        <w:t xml:space="preserve">các cơ quan, đơn vị tổ chức lập dự toán, quản lý, sử dụng và quyết toán kinh phí thực hiện </w:t>
      </w:r>
      <w:r w:rsidRPr="009044EB">
        <w:rPr>
          <w:bCs/>
          <w:spacing w:val="4"/>
          <w:lang w:val="vi-VN"/>
        </w:rPr>
        <w:t xml:space="preserve">hoạt động </w:t>
      </w:r>
      <w:r>
        <w:t xml:space="preserve">phổ biến, giáo dục pháp luật, chuẩn tiếp cận pháp luật và hòa giải ở cơ sở </w:t>
      </w:r>
      <w:r w:rsidR="00F33DA8">
        <w:t xml:space="preserve">đảm bảo công khai, minh bạch, phù hợp với tình hình thực tế phát sinh. </w:t>
      </w:r>
    </w:p>
    <w:p w14:paraId="7B1A4893" w14:textId="77777777" w:rsidR="00AA524B" w:rsidRPr="00D07818" w:rsidRDefault="00CB341A" w:rsidP="0021772C">
      <w:pPr>
        <w:widowControl w:val="0"/>
        <w:spacing w:before="60"/>
        <w:ind w:firstLine="567"/>
        <w:jc w:val="both"/>
        <w:rPr>
          <w:b/>
        </w:rPr>
      </w:pPr>
      <w:r>
        <w:rPr>
          <w:b/>
        </w:rPr>
        <w:tab/>
      </w:r>
      <w:r w:rsidR="00AA524B" w:rsidRPr="00D07818">
        <w:rPr>
          <w:b/>
        </w:rPr>
        <w:t xml:space="preserve">2. Quan điểm xây dựng </w:t>
      </w:r>
      <w:r w:rsidR="00824F9F">
        <w:rPr>
          <w:b/>
        </w:rPr>
        <w:t>Nghị quyết</w:t>
      </w:r>
    </w:p>
    <w:p w14:paraId="3A5F2138" w14:textId="77777777" w:rsidR="00E84330" w:rsidRPr="009044EB" w:rsidRDefault="00CB341A" w:rsidP="0021772C">
      <w:pPr>
        <w:pStyle w:val="NormalWeb"/>
        <w:widowControl w:val="0"/>
        <w:shd w:val="clear" w:color="auto" w:fill="FFFFFF"/>
        <w:spacing w:before="60" w:beforeAutospacing="0" w:after="0" w:afterAutospacing="0"/>
        <w:ind w:firstLine="567"/>
        <w:jc w:val="both"/>
        <w:rPr>
          <w:sz w:val="28"/>
          <w:szCs w:val="28"/>
          <w:lang w:val="vi-VN"/>
        </w:rPr>
      </w:pPr>
      <w:r>
        <w:rPr>
          <w:iCs/>
          <w:sz w:val="28"/>
          <w:szCs w:val="28"/>
          <w:lang w:val="vi-VN"/>
        </w:rPr>
        <w:tab/>
      </w:r>
      <w:r w:rsidR="00E84330" w:rsidRPr="009044EB">
        <w:rPr>
          <w:iCs/>
          <w:sz w:val="28"/>
          <w:szCs w:val="28"/>
          <w:lang w:val="vi-VN"/>
        </w:rPr>
        <w:t xml:space="preserve">- Đúng với </w:t>
      </w:r>
      <w:r>
        <w:rPr>
          <w:iCs/>
          <w:sz w:val="28"/>
          <w:szCs w:val="28"/>
          <w:lang w:val="vi-VN"/>
        </w:rPr>
        <w:t>chủ trương,</w:t>
      </w:r>
      <w:r w:rsidR="00E84330" w:rsidRPr="009044EB">
        <w:rPr>
          <w:iCs/>
          <w:sz w:val="28"/>
          <w:szCs w:val="28"/>
          <w:lang w:val="vi-VN"/>
        </w:rPr>
        <w:t xml:space="preserve"> đường lối của Đảng, quy định của pháp luật</w:t>
      </w:r>
      <w:r>
        <w:rPr>
          <w:sz w:val="28"/>
          <w:szCs w:val="28"/>
          <w:lang w:val="vi-VN"/>
        </w:rPr>
        <w:t>.</w:t>
      </w:r>
    </w:p>
    <w:p w14:paraId="6E8A37E2" w14:textId="77777777" w:rsidR="00E84330" w:rsidRPr="009044EB" w:rsidRDefault="00CB341A" w:rsidP="0021772C">
      <w:pPr>
        <w:pStyle w:val="NormalWeb"/>
        <w:widowControl w:val="0"/>
        <w:shd w:val="clear" w:color="auto" w:fill="FFFFFF"/>
        <w:spacing w:before="60" w:beforeAutospacing="0" w:after="0" w:afterAutospacing="0"/>
        <w:ind w:firstLine="567"/>
        <w:jc w:val="both"/>
        <w:rPr>
          <w:sz w:val="28"/>
          <w:szCs w:val="28"/>
        </w:rPr>
      </w:pPr>
      <w:r>
        <w:rPr>
          <w:sz w:val="28"/>
          <w:szCs w:val="28"/>
          <w:lang w:val="vi-VN"/>
        </w:rPr>
        <w:tab/>
      </w:r>
      <w:r w:rsidR="00E84330" w:rsidRPr="009044EB">
        <w:rPr>
          <w:sz w:val="28"/>
          <w:szCs w:val="28"/>
          <w:lang w:val="vi-VN"/>
        </w:rPr>
        <w:t>- Phù hợp khả năng bảo đảm nguồn kinh phí và tình hình thực tế của địa phương.</w:t>
      </w:r>
    </w:p>
    <w:p w14:paraId="478ED170" w14:textId="77777777" w:rsidR="00E84330" w:rsidRPr="009044EB" w:rsidRDefault="00CB341A" w:rsidP="0021772C">
      <w:pPr>
        <w:pStyle w:val="NormalWeb"/>
        <w:widowControl w:val="0"/>
        <w:shd w:val="clear" w:color="auto" w:fill="FFFFFF"/>
        <w:spacing w:before="60" w:beforeAutospacing="0" w:after="0" w:afterAutospacing="0"/>
        <w:ind w:firstLine="567"/>
        <w:jc w:val="both"/>
        <w:rPr>
          <w:sz w:val="28"/>
          <w:szCs w:val="28"/>
        </w:rPr>
      </w:pPr>
      <w:r>
        <w:rPr>
          <w:sz w:val="28"/>
          <w:szCs w:val="28"/>
          <w:lang w:eastAsia="zh-CN"/>
        </w:rPr>
        <w:tab/>
      </w:r>
      <w:r w:rsidR="00E84330" w:rsidRPr="009044EB">
        <w:rPr>
          <w:sz w:val="28"/>
          <w:szCs w:val="28"/>
          <w:lang w:eastAsia="zh-CN"/>
        </w:rPr>
        <w:t xml:space="preserve">- </w:t>
      </w:r>
      <w:r w:rsidR="00E84330" w:rsidRPr="009044EB">
        <w:rPr>
          <w:sz w:val="28"/>
          <w:szCs w:val="28"/>
          <w:lang w:val="vi-VN" w:eastAsia="zh-CN"/>
        </w:rPr>
        <w:t>Bảo đảm chất lượng</w:t>
      </w:r>
      <w:r w:rsidR="00E84330" w:rsidRPr="009044EB">
        <w:rPr>
          <w:sz w:val="28"/>
          <w:szCs w:val="28"/>
          <w:lang w:eastAsia="zh-CN"/>
        </w:rPr>
        <w:t xml:space="preserve"> xây dựng</w:t>
      </w:r>
      <w:r w:rsidR="00E84330" w:rsidRPr="009044EB">
        <w:rPr>
          <w:sz w:val="28"/>
          <w:szCs w:val="28"/>
          <w:lang w:val="vi-VN" w:eastAsia="zh-CN"/>
        </w:rPr>
        <w:t xml:space="preserve">, thời hạn trình </w:t>
      </w:r>
      <w:r w:rsidR="00E84330" w:rsidRPr="009044EB">
        <w:rPr>
          <w:sz w:val="28"/>
          <w:szCs w:val="28"/>
          <w:lang w:eastAsia="zh-CN"/>
        </w:rPr>
        <w:t xml:space="preserve">ban hành Nghị quyết theo đúng tinh thần </w:t>
      </w:r>
      <w:r w:rsidR="00E84330">
        <w:rPr>
          <w:sz w:val="28"/>
          <w:szCs w:val="28"/>
          <w:lang w:eastAsia="zh-CN"/>
        </w:rPr>
        <w:t>Nghị quyết số 145</w:t>
      </w:r>
      <w:r w:rsidR="00E84330" w:rsidRPr="009044EB">
        <w:rPr>
          <w:sz w:val="28"/>
          <w:szCs w:val="28"/>
          <w:lang w:eastAsia="zh-CN"/>
        </w:rPr>
        <w:t xml:space="preserve">/NQ-HĐND ngày </w:t>
      </w:r>
      <w:r w:rsidR="00E84330">
        <w:rPr>
          <w:sz w:val="28"/>
          <w:szCs w:val="28"/>
          <w:lang w:eastAsia="zh-CN"/>
        </w:rPr>
        <w:t>08/12/2023</w:t>
      </w:r>
      <w:r w:rsidR="00E84330" w:rsidRPr="009044EB">
        <w:rPr>
          <w:sz w:val="28"/>
          <w:szCs w:val="28"/>
          <w:lang w:eastAsia="zh-CN"/>
        </w:rPr>
        <w:t xml:space="preserve"> của Hội đồng nhân dân tỉnh.</w:t>
      </w:r>
    </w:p>
    <w:p w14:paraId="0ACEE2B3" w14:textId="06D33A2C" w:rsidR="002E61FC" w:rsidRPr="00D07818" w:rsidRDefault="00CB341A" w:rsidP="0021772C">
      <w:pPr>
        <w:widowControl w:val="0"/>
        <w:spacing w:before="60"/>
        <w:ind w:firstLine="567"/>
        <w:jc w:val="both"/>
        <w:rPr>
          <w:b/>
        </w:rPr>
      </w:pPr>
      <w:r>
        <w:rPr>
          <w:b/>
        </w:rPr>
        <w:tab/>
      </w:r>
      <w:r w:rsidR="00AA524B" w:rsidRPr="00D2490A">
        <w:rPr>
          <w:b/>
          <w:spacing w:val="-20"/>
        </w:rPr>
        <w:t xml:space="preserve">III. </w:t>
      </w:r>
      <w:r w:rsidR="002E61FC">
        <w:rPr>
          <w:b/>
          <w:spacing w:val="-20"/>
        </w:rPr>
        <w:t xml:space="preserve"> QUÁ TRÌNH</w:t>
      </w:r>
      <w:r w:rsidR="002E61FC" w:rsidRPr="002E61FC">
        <w:rPr>
          <w:b/>
        </w:rPr>
        <w:t xml:space="preserve"> </w:t>
      </w:r>
      <w:r w:rsidR="002E61FC" w:rsidRPr="00D07818">
        <w:rPr>
          <w:b/>
        </w:rPr>
        <w:t xml:space="preserve">XÂY DỰNG </w:t>
      </w:r>
      <w:r w:rsidR="002E61FC">
        <w:rPr>
          <w:b/>
        </w:rPr>
        <w:t>DỰ THẢO NGHỊ QUYẾT</w:t>
      </w:r>
    </w:p>
    <w:p w14:paraId="2E207ABC" w14:textId="42BCF68C" w:rsidR="007167AA" w:rsidRDefault="001D4B0D" w:rsidP="0021772C">
      <w:pPr>
        <w:widowControl w:val="0"/>
        <w:spacing w:before="60" w:after="60"/>
        <w:ind w:firstLine="567"/>
        <w:jc w:val="both"/>
        <w:rPr>
          <w:spacing w:val="-2"/>
          <w:lang w:val="pt-BR"/>
        </w:rPr>
      </w:pPr>
      <w:r w:rsidRPr="009044EB">
        <w:rPr>
          <w:bCs/>
          <w:lang w:val="vi-VN"/>
        </w:rPr>
        <w:t>1.</w:t>
      </w:r>
      <w:r>
        <w:rPr>
          <w:bCs/>
          <w:lang w:val="vi-VN"/>
        </w:rPr>
        <w:t xml:space="preserve"> </w:t>
      </w:r>
      <w:r w:rsidRPr="009044EB">
        <w:rPr>
          <w:spacing w:val="-2"/>
          <w:lang w:val="pt-BR"/>
        </w:rPr>
        <w:t xml:space="preserve">Thực hiện </w:t>
      </w:r>
      <w:r w:rsidR="009C412E">
        <w:rPr>
          <w:spacing w:val="-2"/>
          <w:lang w:val="pt-BR"/>
        </w:rPr>
        <w:t xml:space="preserve">Nghị quyết số 145/NQ-HĐND ngày 08/12/2023 của Hội đồng nhân dân tỉnh về </w:t>
      </w:r>
      <w:r w:rsidR="009C412E">
        <w:rPr>
          <w:lang w:val="pt-BR"/>
        </w:rPr>
        <w:t>kế hoạch tổ chức các Kỳ họp thường lệ năm 2024 của Hội đồng nhân dân tỉnh khóa XVIII và Văn bản số 899/UBND-NC</w:t>
      </w:r>
      <w:r w:rsidR="009C412E">
        <w:rPr>
          <w:vertAlign w:val="subscript"/>
          <w:lang w:val="pt-BR"/>
        </w:rPr>
        <w:t xml:space="preserve">6 </w:t>
      </w:r>
      <w:r w:rsidR="009C412E">
        <w:rPr>
          <w:lang w:val="pt-BR"/>
        </w:rPr>
        <w:t>ngày 21/02/2024 của UBND tỉnh về việc chuẩn bị các nội dung trình HĐND tỉnh tại các kỳ họp thường lệ năm 2024</w:t>
      </w:r>
      <w:r w:rsidRPr="009044EB">
        <w:rPr>
          <w:spacing w:val="-2"/>
          <w:lang w:val="pt-BR"/>
        </w:rPr>
        <w:t xml:space="preserve">, Sở Tư pháp </w:t>
      </w:r>
      <w:r w:rsidR="007167AA">
        <w:rPr>
          <w:spacing w:val="-2"/>
          <w:lang w:val="pt-BR"/>
        </w:rPr>
        <w:t>tham mưu UBND tỉnh trình Thường trực HĐND tỉnh</w:t>
      </w:r>
      <w:r w:rsidR="007167AA" w:rsidRPr="009044EB">
        <w:rPr>
          <w:spacing w:val="-2"/>
          <w:lang w:val="pt-BR"/>
        </w:rPr>
        <w:t xml:space="preserve"> </w:t>
      </w:r>
      <w:r w:rsidR="007167AA">
        <w:rPr>
          <w:spacing w:val="-2"/>
          <w:lang w:val="pt-BR"/>
        </w:rPr>
        <w:t>đề nghị xây dựng</w:t>
      </w:r>
      <w:r w:rsidR="007167AA" w:rsidRPr="009044EB">
        <w:rPr>
          <w:spacing w:val="-2"/>
          <w:lang w:val="pt-BR"/>
        </w:rPr>
        <w:t xml:space="preserve"> Nghị quyết </w:t>
      </w:r>
      <w:r w:rsidR="007167AA">
        <w:t>quy định mức chi thực hiện công tác phổ biến, giáo dục pháp luật, chuẩn tiếp cận pháp luật và hòa giải ở cơ sở trên địa bàn tỉnh Hà Tĩnh.</w:t>
      </w:r>
    </w:p>
    <w:p w14:paraId="6B6AC140" w14:textId="5AB09F5C" w:rsidR="001D4B0D" w:rsidRPr="009044EB" w:rsidRDefault="007167AA" w:rsidP="0021772C">
      <w:pPr>
        <w:widowControl w:val="0"/>
        <w:spacing w:before="60" w:after="60"/>
        <w:ind w:firstLine="567"/>
        <w:jc w:val="both"/>
        <w:rPr>
          <w:spacing w:val="-2"/>
          <w:lang w:val="pt-BR"/>
        </w:rPr>
      </w:pPr>
      <w:r>
        <w:rPr>
          <w:spacing w:val="-2"/>
          <w:lang w:val="pt-BR"/>
        </w:rPr>
        <w:t>2.</w:t>
      </w:r>
      <w:r w:rsidR="000629D0">
        <w:rPr>
          <w:spacing w:val="-2"/>
          <w:lang w:val="pt-BR"/>
        </w:rPr>
        <w:t xml:space="preserve"> </w:t>
      </w:r>
      <w:r>
        <w:rPr>
          <w:spacing w:val="-2"/>
          <w:lang w:val="pt-BR"/>
        </w:rPr>
        <w:t>Trên cơ sở Văn bản số 191/HĐND của Thường trực HĐND tỉnh thống nhất đề nghị xây dựng</w:t>
      </w:r>
      <w:r w:rsidRPr="009044EB">
        <w:rPr>
          <w:spacing w:val="-2"/>
          <w:lang w:val="pt-BR"/>
        </w:rPr>
        <w:t xml:space="preserve"> Nghị quyết </w:t>
      </w:r>
      <w:r>
        <w:t xml:space="preserve">quy định mức chi thực hiện công tác phổ biến, giáo dục pháp luật, chuẩn tiếp cận pháp luật và hòa giải ở cơ sở trên địa bàn tỉnh Hà Tĩnh, UBND tỉnh đã chỉ đạo Sở Tư pháp </w:t>
      </w:r>
      <w:r w:rsidR="001D4B0D" w:rsidRPr="009044EB">
        <w:rPr>
          <w:spacing w:val="-2"/>
          <w:lang w:val="pt-BR"/>
        </w:rPr>
        <w:t xml:space="preserve">chủ trì, phối hợp với các đơn vị liên quan xây dựng dự thảo Nghị quyết </w:t>
      </w:r>
      <w:r w:rsidR="009C412E">
        <w:t>quy định mức chi thực hiện công tác phổ biến, giáo dục pháp luật, chuẩn tiếp cận pháp luật và hòa giải ở cơ sở trên địa bàn tỉnh Hà Tĩnh</w:t>
      </w:r>
      <w:r w:rsidR="001D4B0D" w:rsidRPr="009044EB">
        <w:rPr>
          <w:spacing w:val="-2"/>
          <w:lang w:val="pt-BR"/>
        </w:rPr>
        <w:t>.</w:t>
      </w:r>
    </w:p>
    <w:p w14:paraId="7984B413" w14:textId="7CDC54D3" w:rsidR="001D4B0D" w:rsidRPr="009044EB" w:rsidRDefault="007167AA" w:rsidP="0021772C">
      <w:pPr>
        <w:widowControl w:val="0"/>
        <w:spacing w:before="60" w:after="60"/>
        <w:ind w:firstLine="567"/>
        <w:jc w:val="both"/>
        <w:rPr>
          <w:bCs/>
          <w:lang w:val="pt-BR"/>
        </w:rPr>
      </w:pPr>
      <w:r>
        <w:rPr>
          <w:bCs/>
          <w:lang w:val="pt-BR"/>
        </w:rPr>
        <w:t>3</w:t>
      </w:r>
      <w:r w:rsidR="001D4B0D" w:rsidRPr="009044EB">
        <w:rPr>
          <w:bCs/>
          <w:lang w:val="pt-BR"/>
        </w:rPr>
        <w:t xml:space="preserve">. </w:t>
      </w:r>
      <w:r>
        <w:rPr>
          <w:bCs/>
          <w:lang w:val="pt-BR"/>
        </w:rPr>
        <w:t xml:space="preserve">Ngày 24/4/2024, </w:t>
      </w:r>
      <w:r w:rsidR="001D4B0D" w:rsidRPr="009044EB">
        <w:rPr>
          <w:bCs/>
          <w:lang w:val="pt-BR"/>
        </w:rPr>
        <w:t xml:space="preserve">Sở Tư pháp ban hành Văn bản số </w:t>
      </w:r>
      <w:r w:rsidR="004506A8">
        <w:rPr>
          <w:bCs/>
          <w:lang w:val="pt-BR"/>
        </w:rPr>
        <w:t>757</w:t>
      </w:r>
      <w:r w:rsidR="001D4B0D" w:rsidRPr="009044EB">
        <w:rPr>
          <w:bCs/>
          <w:lang w:val="pt-BR"/>
        </w:rPr>
        <w:t>/STP-</w:t>
      </w:r>
      <w:r w:rsidR="006A47A9">
        <w:rPr>
          <w:bCs/>
          <w:lang w:val="pt-BR"/>
        </w:rPr>
        <w:t>PBGDPL</w:t>
      </w:r>
      <w:r w:rsidR="001D4B0D" w:rsidRPr="009044EB">
        <w:rPr>
          <w:bCs/>
          <w:lang w:val="pt-BR"/>
        </w:rPr>
        <w:t xml:space="preserve"> đề nghị </w:t>
      </w:r>
      <w:r w:rsidR="006A47A9">
        <w:rPr>
          <w:bCs/>
          <w:lang w:val="pt-BR"/>
        </w:rPr>
        <w:t xml:space="preserve">Ban biên tập Cổng thông tin điện tử tỉnh, </w:t>
      </w:r>
      <w:r w:rsidR="001D4B0D" w:rsidRPr="009044EB">
        <w:rPr>
          <w:lang w:val="pt-BR"/>
        </w:rPr>
        <w:t>Sở Thông tin và Truyền thông đăng tải dự thảo Nghị quyết trên Cổng thông tin điện tử tỉnh.</w:t>
      </w:r>
      <w:r w:rsidR="001D4B0D">
        <w:rPr>
          <w:lang w:val="pt-BR"/>
        </w:rPr>
        <w:t xml:space="preserve"> Đồng thời, ban hành </w:t>
      </w:r>
      <w:r w:rsidR="001D4B0D" w:rsidRPr="009044EB">
        <w:rPr>
          <w:bCs/>
          <w:lang w:val="pt-BR"/>
        </w:rPr>
        <w:t xml:space="preserve">Văn bản số </w:t>
      </w:r>
      <w:r w:rsidR="006A47A9">
        <w:rPr>
          <w:bCs/>
          <w:lang w:val="pt-BR"/>
        </w:rPr>
        <w:t>...</w:t>
      </w:r>
      <w:r w:rsidR="001D4B0D" w:rsidRPr="009044EB">
        <w:rPr>
          <w:bCs/>
          <w:lang w:val="pt-BR"/>
        </w:rPr>
        <w:t>/STP-</w:t>
      </w:r>
      <w:r w:rsidR="006A47A9">
        <w:rPr>
          <w:bCs/>
          <w:lang w:val="pt-BR"/>
        </w:rPr>
        <w:t>PBGDPL</w:t>
      </w:r>
      <w:r w:rsidR="001D4B0D" w:rsidRPr="009044EB">
        <w:rPr>
          <w:bCs/>
          <w:lang w:val="pt-BR"/>
        </w:rPr>
        <w:t xml:space="preserve"> ngày </w:t>
      </w:r>
      <w:r w:rsidR="006A47A9">
        <w:rPr>
          <w:bCs/>
          <w:lang w:val="pt-BR"/>
        </w:rPr>
        <w:t xml:space="preserve">   </w:t>
      </w:r>
      <w:r w:rsidR="001D4B0D" w:rsidRPr="009044EB">
        <w:rPr>
          <w:bCs/>
          <w:lang w:val="pt-BR"/>
        </w:rPr>
        <w:t>/</w:t>
      </w:r>
      <w:r>
        <w:rPr>
          <w:bCs/>
          <w:lang w:val="pt-BR"/>
        </w:rPr>
        <w:t>5</w:t>
      </w:r>
      <w:r w:rsidR="001D4B0D" w:rsidRPr="009044EB">
        <w:rPr>
          <w:bCs/>
          <w:lang w:val="pt-BR"/>
        </w:rPr>
        <w:t>/202</w:t>
      </w:r>
      <w:r w:rsidR="006A47A9">
        <w:rPr>
          <w:bCs/>
          <w:lang w:val="pt-BR"/>
        </w:rPr>
        <w:t>4</w:t>
      </w:r>
      <w:r w:rsidR="001D4B0D" w:rsidRPr="009044EB">
        <w:rPr>
          <w:bCs/>
          <w:lang w:val="pt-BR"/>
        </w:rPr>
        <w:t xml:space="preserve"> </w:t>
      </w:r>
      <w:r w:rsidR="006A47A9">
        <w:rPr>
          <w:bCs/>
          <w:lang w:val="pt-BR"/>
        </w:rPr>
        <w:t xml:space="preserve">về việc </w:t>
      </w:r>
      <w:r w:rsidR="001D4B0D" w:rsidRPr="009044EB">
        <w:rPr>
          <w:bCs/>
          <w:lang w:val="pt-BR"/>
        </w:rPr>
        <w:t>lấy ý kiến góp ý của các cơ quan, đơn vị liên quan</w:t>
      </w:r>
      <w:r w:rsidR="001D4B0D">
        <w:rPr>
          <w:bCs/>
          <w:lang w:val="pt-BR"/>
        </w:rPr>
        <w:t>.</w:t>
      </w:r>
      <w:r w:rsidR="001D4B0D" w:rsidRPr="009044EB">
        <w:rPr>
          <w:bCs/>
          <w:lang w:val="pt-BR"/>
        </w:rPr>
        <w:t xml:space="preserve"> Trên cơ sở ý kiến góp ý của các cơ quan, đơn vị, Sở Tư pháp hoàn thiện dự thảo.</w:t>
      </w:r>
    </w:p>
    <w:p w14:paraId="72FD389B" w14:textId="0D742AE2" w:rsidR="001D4B0D" w:rsidRPr="009044EB" w:rsidRDefault="007167AA" w:rsidP="0021772C">
      <w:pPr>
        <w:widowControl w:val="0"/>
        <w:spacing w:before="60" w:after="60"/>
        <w:ind w:firstLine="567"/>
        <w:jc w:val="both"/>
        <w:rPr>
          <w:bCs/>
        </w:rPr>
      </w:pPr>
      <w:r>
        <w:rPr>
          <w:bCs/>
          <w:lang w:val="pt-BR"/>
        </w:rPr>
        <w:t>4</w:t>
      </w:r>
      <w:r w:rsidR="001D4B0D" w:rsidRPr="009044EB">
        <w:rPr>
          <w:bCs/>
          <w:lang w:val="pt-BR"/>
        </w:rPr>
        <w:t>.</w:t>
      </w:r>
      <w:r w:rsidR="001D4B0D" w:rsidRPr="009044EB">
        <w:rPr>
          <w:bCs/>
        </w:rPr>
        <w:t xml:space="preserve"> Sở Tư pháp tổ chức thẩm định dự thảo Nghị quyết theo quy định của Luật Ban hành văn bản </w:t>
      </w:r>
      <w:r w:rsidR="001D4B0D">
        <w:rPr>
          <w:bCs/>
        </w:rPr>
        <w:t>quy phạm pháp luật</w:t>
      </w:r>
      <w:r w:rsidR="001D4B0D" w:rsidRPr="009044EB">
        <w:rPr>
          <w:bCs/>
        </w:rPr>
        <w:t xml:space="preserve"> năm 2015 (được sửa đổi, bổ sung năm 2020) và các văn bản quy định chi tiết thi hành; hoàn thiện dự thảo và tài liệu liên quan trình UBND tỉnh.</w:t>
      </w:r>
    </w:p>
    <w:p w14:paraId="77718E50" w14:textId="0E128335" w:rsidR="001D4B0D" w:rsidRPr="009044EB" w:rsidRDefault="007167AA" w:rsidP="0021772C">
      <w:pPr>
        <w:widowControl w:val="0"/>
        <w:spacing w:before="60" w:after="60"/>
        <w:ind w:firstLine="567"/>
        <w:jc w:val="both"/>
        <w:rPr>
          <w:bCs/>
          <w:lang w:val="pt-BR"/>
        </w:rPr>
      </w:pPr>
      <w:r>
        <w:rPr>
          <w:bCs/>
          <w:lang w:val="pt-BR"/>
        </w:rPr>
        <w:t>5</w:t>
      </w:r>
      <w:r w:rsidR="001D4B0D" w:rsidRPr="009044EB">
        <w:rPr>
          <w:bCs/>
          <w:lang w:val="pt-BR"/>
        </w:rPr>
        <w:t xml:space="preserve">. </w:t>
      </w:r>
      <w:r w:rsidR="001D4B0D" w:rsidRPr="00856F78">
        <w:rPr>
          <w:bCs/>
          <w:color w:val="FF0000"/>
          <w:lang w:val="pt-BR"/>
        </w:rPr>
        <w:t>Ngày  …/…./202</w:t>
      </w:r>
      <w:r w:rsidR="001D4B0D">
        <w:rPr>
          <w:bCs/>
          <w:color w:val="FF0000"/>
          <w:lang w:val="pt-BR"/>
        </w:rPr>
        <w:t>4</w:t>
      </w:r>
      <w:r w:rsidR="001D4B0D" w:rsidRPr="009044EB">
        <w:rPr>
          <w:bCs/>
          <w:lang w:val="pt-BR"/>
        </w:rPr>
        <w:t xml:space="preserve">, UBND tỉnh tổ chức lấy ý kiến của thành viên UBND tỉnh về dự thảo Nghị quyết; thành viên UBND tỉnh đồng ý trình HĐND tỉnh dự </w:t>
      </w:r>
      <w:r w:rsidR="001D4B0D" w:rsidRPr="009044EB">
        <w:rPr>
          <w:bCs/>
          <w:lang w:val="pt-BR"/>
        </w:rPr>
        <w:lastRenderedPageBreak/>
        <w:t>thảo Nghị quyết.</w:t>
      </w:r>
    </w:p>
    <w:p w14:paraId="4D0584BD" w14:textId="7B2D1186" w:rsidR="00AA524B" w:rsidRPr="008A3715" w:rsidRDefault="002E61FC" w:rsidP="0021772C">
      <w:pPr>
        <w:widowControl w:val="0"/>
        <w:spacing w:before="60"/>
        <w:ind w:firstLine="567"/>
        <w:jc w:val="both"/>
        <w:rPr>
          <w:b/>
        </w:rPr>
      </w:pPr>
      <w:r w:rsidRPr="008A3715">
        <w:rPr>
          <w:b/>
        </w:rPr>
        <w:t>IV. BỐ CỤC VÀ NỘI DUNG CƠ BẢN CỦA DỰ THẢO NGHỊ QUYẾT</w:t>
      </w:r>
    </w:p>
    <w:p w14:paraId="67C21256" w14:textId="06E36BD8" w:rsidR="00AA524B" w:rsidRPr="00D07818" w:rsidRDefault="00CB341A" w:rsidP="0021772C">
      <w:pPr>
        <w:widowControl w:val="0"/>
        <w:spacing w:before="60"/>
        <w:ind w:firstLine="567"/>
        <w:jc w:val="both"/>
        <w:rPr>
          <w:b/>
        </w:rPr>
      </w:pPr>
      <w:r>
        <w:rPr>
          <w:b/>
        </w:rPr>
        <w:tab/>
      </w:r>
      <w:r w:rsidR="00AA524B" w:rsidRPr="00D07818">
        <w:rPr>
          <w:b/>
        </w:rPr>
        <w:t xml:space="preserve">1. </w:t>
      </w:r>
      <w:r w:rsidR="002E61FC">
        <w:rPr>
          <w:b/>
        </w:rPr>
        <w:t>Bố cục</w:t>
      </w:r>
    </w:p>
    <w:p w14:paraId="68EEC797" w14:textId="79CE56F9" w:rsidR="001D4B0D" w:rsidRPr="00856F78" w:rsidRDefault="001D4B0D" w:rsidP="0021772C">
      <w:pPr>
        <w:widowControl w:val="0"/>
        <w:spacing w:before="60" w:after="60"/>
        <w:ind w:firstLine="567"/>
        <w:jc w:val="both"/>
        <w:rPr>
          <w:lang w:val="pt-BR"/>
        </w:rPr>
      </w:pPr>
      <w:r w:rsidRPr="00856F78">
        <w:rPr>
          <w:lang w:val="pt-BR"/>
        </w:rPr>
        <w:t xml:space="preserve">Dự thảo Nghị quyết được bố cục thành </w:t>
      </w:r>
      <w:r>
        <w:rPr>
          <w:lang w:val="pt-BR"/>
        </w:rPr>
        <w:t>06</w:t>
      </w:r>
      <w:r w:rsidRPr="00856F78">
        <w:rPr>
          <w:lang w:val="pt-BR"/>
        </w:rPr>
        <w:t xml:space="preserve"> Điều, cụ thể:</w:t>
      </w:r>
    </w:p>
    <w:p w14:paraId="2B6BCCD0" w14:textId="77777777" w:rsidR="001D4B0D" w:rsidRPr="009044EB" w:rsidRDefault="001D4B0D" w:rsidP="0021772C">
      <w:pPr>
        <w:widowControl w:val="0"/>
        <w:spacing w:before="60" w:after="60"/>
        <w:ind w:firstLine="567"/>
        <w:jc w:val="both"/>
        <w:rPr>
          <w:lang w:val="pt-BR"/>
        </w:rPr>
      </w:pPr>
      <w:r w:rsidRPr="009044EB">
        <w:rPr>
          <w:bCs/>
          <w:lang w:val="pt-BR"/>
        </w:rPr>
        <w:t xml:space="preserve">Điều 1. Phạm vi điều chỉnh </w:t>
      </w:r>
    </w:p>
    <w:p w14:paraId="619D230C" w14:textId="77777777" w:rsidR="001D4B0D" w:rsidRPr="009044EB" w:rsidRDefault="001D4B0D" w:rsidP="0021772C">
      <w:pPr>
        <w:widowControl w:val="0"/>
        <w:spacing w:before="60" w:after="60"/>
        <w:ind w:firstLine="567"/>
        <w:rPr>
          <w:lang w:val="pt-BR"/>
        </w:rPr>
      </w:pPr>
      <w:r w:rsidRPr="009044EB">
        <w:rPr>
          <w:lang w:val="pt-BR"/>
        </w:rPr>
        <w:t>Điều 2. Đối tượng áp dụng</w:t>
      </w:r>
    </w:p>
    <w:p w14:paraId="5E6E1426" w14:textId="77777777" w:rsidR="001D4B0D" w:rsidRDefault="001D4B0D" w:rsidP="0021772C">
      <w:pPr>
        <w:widowControl w:val="0"/>
        <w:shd w:val="solid" w:color="FFFFFF" w:fill="auto"/>
        <w:spacing w:before="60" w:after="60"/>
        <w:ind w:firstLine="567"/>
        <w:jc w:val="both"/>
        <w:rPr>
          <w:bCs/>
        </w:rPr>
      </w:pPr>
      <w:r w:rsidRPr="009044EB">
        <w:rPr>
          <w:lang w:val="pt-BR"/>
        </w:rPr>
        <w:t xml:space="preserve">Điều 3. </w:t>
      </w:r>
      <w:bookmarkStart w:id="2" w:name="Dieu_2"/>
      <w:r>
        <w:rPr>
          <w:lang w:val="pt-BR"/>
        </w:rPr>
        <w:t>M</w:t>
      </w:r>
      <w:r w:rsidRPr="009044EB">
        <w:rPr>
          <w:bCs/>
          <w:lang w:val="pt-BR"/>
        </w:rPr>
        <w:t xml:space="preserve">ức chi cho </w:t>
      </w:r>
      <w:bookmarkEnd w:id="2"/>
      <w:r w:rsidRPr="00F61694">
        <w:rPr>
          <w:bCs/>
        </w:rPr>
        <w:t xml:space="preserve">công tác phổ biến, giáo dục pháp luật, chuẩn tiếp cận pháp luật và hòa giải ở cơ sở </w:t>
      </w:r>
    </w:p>
    <w:p w14:paraId="3427454E" w14:textId="07D531AF" w:rsidR="001D4B0D" w:rsidRPr="009044EB" w:rsidRDefault="001D4B0D" w:rsidP="0021772C">
      <w:pPr>
        <w:widowControl w:val="0"/>
        <w:shd w:val="solid" w:color="FFFFFF" w:fill="auto"/>
        <w:spacing w:before="60" w:after="60"/>
        <w:ind w:firstLine="567"/>
        <w:jc w:val="both"/>
        <w:rPr>
          <w:bCs/>
          <w:lang w:val="pt-BR"/>
        </w:rPr>
      </w:pPr>
      <w:r w:rsidRPr="009044EB">
        <w:rPr>
          <w:bCs/>
          <w:lang w:val="pt-BR"/>
        </w:rPr>
        <w:t>Điề</w:t>
      </w:r>
      <w:r>
        <w:rPr>
          <w:bCs/>
          <w:lang w:val="pt-BR"/>
        </w:rPr>
        <w:t>u 4</w:t>
      </w:r>
      <w:r w:rsidRPr="009044EB">
        <w:rPr>
          <w:bCs/>
          <w:lang w:val="pt-BR"/>
        </w:rPr>
        <w:t>. Nguồn kinh phí thực hiện</w:t>
      </w:r>
    </w:p>
    <w:p w14:paraId="619A7EB3" w14:textId="5B5B8619" w:rsidR="001D4B0D" w:rsidRPr="009044EB" w:rsidRDefault="001D4B0D" w:rsidP="0021772C">
      <w:pPr>
        <w:widowControl w:val="0"/>
        <w:spacing w:before="60" w:after="60"/>
        <w:ind w:firstLine="567"/>
        <w:jc w:val="both"/>
        <w:rPr>
          <w:lang w:val="pt-BR"/>
        </w:rPr>
      </w:pPr>
      <w:r>
        <w:rPr>
          <w:bCs/>
          <w:lang w:val="pt-BR"/>
        </w:rPr>
        <w:t>Điều 5</w:t>
      </w:r>
      <w:r w:rsidRPr="009044EB">
        <w:rPr>
          <w:bCs/>
          <w:lang w:val="pt-BR"/>
        </w:rPr>
        <w:t>. Điều khoản thi hành</w:t>
      </w:r>
    </w:p>
    <w:p w14:paraId="7EFB9029" w14:textId="302C7F67" w:rsidR="001D4B0D" w:rsidRPr="009044EB" w:rsidRDefault="001D4B0D" w:rsidP="0021772C">
      <w:pPr>
        <w:widowControl w:val="0"/>
        <w:spacing w:before="60" w:after="60"/>
        <w:ind w:firstLine="567"/>
        <w:rPr>
          <w:bCs/>
          <w:spacing w:val="-4"/>
          <w:lang w:val="pt-BR"/>
        </w:rPr>
      </w:pPr>
      <w:r w:rsidRPr="009044EB">
        <w:rPr>
          <w:bCs/>
          <w:spacing w:val="-4"/>
          <w:lang w:val="pt-BR"/>
        </w:rPr>
        <w:t xml:space="preserve">Điều </w:t>
      </w:r>
      <w:r>
        <w:rPr>
          <w:bCs/>
          <w:spacing w:val="-4"/>
          <w:lang w:val="pt-BR"/>
        </w:rPr>
        <w:t>6</w:t>
      </w:r>
      <w:r w:rsidRPr="009044EB">
        <w:rPr>
          <w:bCs/>
          <w:spacing w:val="-4"/>
          <w:lang w:val="pt-BR"/>
        </w:rPr>
        <w:t>. Tổ chức thực hiện</w:t>
      </w:r>
    </w:p>
    <w:p w14:paraId="39424936" w14:textId="13D66DC2" w:rsidR="002E61FC" w:rsidRPr="002E61FC" w:rsidRDefault="002E61FC" w:rsidP="0021772C">
      <w:pPr>
        <w:widowControl w:val="0"/>
        <w:spacing w:before="60"/>
        <w:ind w:firstLine="567"/>
        <w:jc w:val="both"/>
        <w:rPr>
          <w:b/>
          <w:bCs/>
        </w:rPr>
      </w:pPr>
      <w:r w:rsidRPr="002E61FC">
        <w:rPr>
          <w:b/>
          <w:bCs/>
        </w:rPr>
        <w:t>2. Nội dung cơ bản của dự thảo Nghị quyết</w:t>
      </w:r>
    </w:p>
    <w:p w14:paraId="1D9DFDA5" w14:textId="52E86A49" w:rsidR="007A3043" w:rsidRPr="00F61694" w:rsidRDefault="00CB341A" w:rsidP="0021772C">
      <w:pPr>
        <w:widowControl w:val="0"/>
        <w:spacing w:before="60"/>
        <w:ind w:firstLine="567"/>
        <w:jc w:val="both"/>
        <w:rPr>
          <w:bCs/>
        </w:rPr>
      </w:pPr>
      <w:r>
        <w:rPr>
          <w:b/>
        </w:rPr>
        <w:tab/>
      </w:r>
      <w:r w:rsidR="00F61694" w:rsidRPr="00F61694">
        <w:rPr>
          <w:bCs/>
        </w:rPr>
        <w:t xml:space="preserve">Nghị quyết này quy định </w:t>
      </w:r>
      <w:r w:rsidR="00CE1F39" w:rsidRPr="00F61694">
        <w:rPr>
          <w:bCs/>
        </w:rPr>
        <w:t xml:space="preserve">mức chi </w:t>
      </w:r>
      <w:r w:rsidR="00E80D7D">
        <w:rPr>
          <w:bCs/>
        </w:rPr>
        <w:t>thực hiện</w:t>
      </w:r>
      <w:r w:rsidR="00CE1F39" w:rsidRPr="00F61694">
        <w:rPr>
          <w:bCs/>
        </w:rPr>
        <w:t xml:space="preserve"> công tác phổ biến, giáo dục pháp luật, chuẩn tiếp cận pháp luật và hòa</w:t>
      </w:r>
      <w:r w:rsidR="007A3043" w:rsidRPr="00F61694">
        <w:rPr>
          <w:bCs/>
        </w:rPr>
        <w:t xml:space="preserve"> giải ở cơ sở trên địa bàn tỉnh</w:t>
      </w:r>
      <w:r w:rsidR="00F61694" w:rsidRPr="00F61694">
        <w:rPr>
          <w:bCs/>
        </w:rPr>
        <w:t>, cụ thể:</w:t>
      </w:r>
    </w:p>
    <w:p w14:paraId="51186481" w14:textId="6D5E5DFA" w:rsidR="007A3043" w:rsidRPr="00D2490A" w:rsidRDefault="00CB341A" w:rsidP="0021772C">
      <w:pPr>
        <w:widowControl w:val="0"/>
        <w:spacing w:before="60"/>
        <w:ind w:firstLine="567"/>
        <w:jc w:val="both"/>
        <w:rPr>
          <w:spacing w:val="-6"/>
        </w:rPr>
      </w:pPr>
      <w:r>
        <w:tab/>
      </w:r>
      <w:r w:rsidR="00AE3E31" w:rsidRPr="00D2490A">
        <w:rPr>
          <w:spacing w:val="-6"/>
        </w:rPr>
        <w:t xml:space="preserve">- Chi </w:t>
      </w:r>
      <w:r w:rsidR="002C1ECC">
        <w:rPr>
          <w:spacing w:val="-6"/>
        </w:rPr>
        <w:t xml:space="preserve">chế độ </w:t>
      </w:r>
      <w:r w:rsidR="00AE3E31" w:rsidRPr="00D2490A">
        <w:rPr>
          <w:spacing w:val="-6"/>
        </w:rPr>
        <w:t>công tác phí</w:t>
      </w:r>
      <w:r w:rsidR="00A33519">
        <w:rPr>
          <w:spacing w:val="-6"/>
        </w:rPr>
        <w:t xml:space="preserve">; </w:t>
      </w:r>
      <w:r w:rsidR="00A33519" w:rsidRPr="00A33519">
        <w:rPr>
          <w:spacing w:val="-6"/>
        </w:rPr>
        <w:t xml:space="preserve">chi tổ chức các cuộc họp, hội nghị chuyên đề, </w:t>
      </w:r>
      <w:r w:rsidR="002C1ECC">
        <w:rPr>
          <w:spacing w:val="-6"/>
        </w:rPr>
        <w:t xml:space="preserve">chuyên môn, </w:t>
      </w:r>
      <w:r w:rsidR="00A33519" w:rsidRPr="00A33519">
        <w:rPr>
          <w:spacing w:val="-6"/>
        </w:rPr>
        <w:t>hội nghị tổng kết, sơ kết, triển khai</w:t>
      </w:r>
      <w:r w:rsidR="00AE3E31" w:rsidRPr="00D2490A">
        <w:rPr>
          <w:spacing w:val="-6"/>
        </w:rPr>
        <w:t xml:space="preserve">: </w:t>
      </w:r>
      <w:r w:rsidR="0065007F" w:rsidRPr="00D2490A">
        <w:rPr>
          <w:spacing w:val="-6"/>
        </w:rPr>
        <w:t>T</w:t>
      </w:r>
      <w:r w:rsidR="00AE3E31" w:rsidRPr="00D2490A">
        <w:rPr>
          <w:spacing w:val="-6"/>
        </w:rPr>
        <w:t xml:space="preserve">hực hiện theo Nghị quyết </w:t>
      </w:r>
      <w:r w:rsidR="00E1072A" w:rsidRPr="00D2490A">
        <w:rPr>
          <w:spacing w:val="-6"/>
        </w:rPr>
        <w:t>số 70/2017/NQ-HĐND ngày 13/12/2017 của HĐND tỉnh quy định chế độ công tác phí, chế độ chi hội nghị;</w:t>
      </w:r>
    </w:p>
    <w:p w14:paraId="2FD4803B" w14:textId="542CC41F" w:rsidR="007A3043" w:rsidRPr="0024372F" w:rsidRDefault="00CB341A" w:rsidP="0021772C">
      <w:pPr>
        <w:widowControl w:val="0"/>
        <w:spacing w:before="60"/>
        <w:ind w:firstLine="567"/>
        <w:jc w:val="both"/>
        <w:rPr>
          <w:b/>
          <w:bCs/>
        </w:rPr>
      </w:pPr>
      <w:r>
        <w:tab/>
      </w:r>
      <w:r w:rsidR="00CE1F39">
        <w:t>- Chi tổ chức đào tạo, tập huấn, bồi dưỡng kiến thức</w:t>
      </w:r>
      <w:r w:rsidR="00E1072A">
        <w:t>,</w:t>
      </w:r>
      <w:r w:rsidR="00E1072A" w:rsidRPr="00E1072A">
        <w:t xml:space="preserve"> nghiệp vụ, kỹ năng phổ biến, giáo dục pháp luật, chuẩn tiếp cận pháp luật, hoà giải ở cơ sở</w:t>
      </w:r>
      <w:r w:rsidR="00E1072A">
        <w:t xml:space="preserve">: </w:t>
      </w:r>
      <w:r w:rsidR="0065007F">
        <w:t>T</w:t>
      </w:r>
      <w:r w:rsidR="00E1072A">
        <w:t>hực hiện theo Nghị quyết số 130/2018/NQ-HĐND ngày 13/12/2018 của HĐND tỉnh q</w:t>
      </w:r>
      <w:r w:rsidR="00E1072A" w:rsidRPr="00E1072A">
        <w:t>uy định mức chi đào tạo, bồi dưỡng cán bộ, công chức, viên chức</w:t>
      </w:r>
      <w:r w:rsidR="00E1072A">
        <w:t xml:space="preserve"> và </w:t>
      </w:r>
      <w:r w:rsidR="00E1072A" w:rsidRPr="0024372F">
        <w:rPr>
          <w:color w:val="000000" w:themeColor="text1"/>
        </w:rPr>
        <w:t xml:space="preserve">Thông số  06/2023/TT-BTC </w:t>
      </w:r>
      <w:r w:rsidR="0065007F" w:rsidRPr="0024372F">
        <w:rPr>
          <w:color w:val="000000" w:themeColor="text1"/>
        </w:rPr>
        <w:t xml:space="preserve">ngày 31/01/2023 </w:t>
      </w:r>
      <w:r w:rsidR="00E1072A" w:rsidRPr="0024372F">
        <w:rPr>
          <w:color w:val="000000" w:themeColor="text1"/>
        </w:rPr>
        <w:t>của Bộ trưởng Bộ Tài chính sửa đổi, bổ sung một số điều của Thông tư số 36/2018/TT-BTC;</w:t>
      </w:r>
    </w:p>
    <w:p w14:paraId="06482956" w14:textId="546CBD11" w:rsidR="007A3043" w:rsidRPr="0024372F" w:rsidRDefault="00CE1F39" w:rsidP="0021772C">
      <w:pPr>
        <w:widowControl w:val="0"/>
        <w:spacing w:before="60"/>
        <w:ind w:firstLine="567"/>
        <w:jc w:val="both"/>
        <w:rPr>
          <w:color w:val="000000" w:themeColor="text1"/>
        </w:rPr>
      </w:pPr>
      <w:r w:rsidRPr="0024372F">
        <w:rPr>
          <w:color w:val="000000" w:themeColor="text1"/>
        </w:rPr>
        <w:t>- Chi tổ chức họp báo, hội thảo</w:t>
      </w:r>
      <w:r w:rsidR="00E1072A" w:rsidRPr="0024372F">
        <w:rPr>
          <w:color w:val="000000" w:themeColor="text1"/>
        </w:rPr>
        <w:t xml:space="preserve">, tọa đàm </w:t>
      </w:r>
      <w:r w:rsidR="00A62A2E" w:rsidRPr="0024372F">
        <w:rPr>
          <w:color w:val="000000" w:themeColor="text1"/>
        </w:rPr>
        <w:t>trao đổi kinh nghiệm phổ biến, giáo dục pháp luật, chuẩn tiếp cận pháp luật và hòa giải ở cơ sở, giải pháp thực hiện chương trình, đề án, hoạt động của Hội đồng phối hợp phổ biến, giáo dục pháp luật tỉnh; cấp huyện; Hội đồng đánh giá chuẩn tiếp cận pháp luật cấp huyện, Ban chỉ đạo các chương trình, đề án về phổ biến, giáo dục pháp luật, chuẩn tiếp cận pháp luật và hòa giải ở cơ sở</w:t>
      </w:r>
      <w:r w:rsidR="00E1072A" w:rsidRPr="0024372F">
        <w:rPr>
          <w:color w:val="000000" w:themeColor="text1"/>
        </w:rPr>
        <w:t xml:space="preserve">: </w:t>
      </w:r>
      <w:r w:rsidR="0065007F" w:rsidRPr="0024372F">
        <w:rPr>
          <w:color w:val="000000" w:themeColor="text1"/>
        </w:rPr>
        <w:t>T</w:t>
      </w:r>
      <w:r w:rsidR="00E1072A" w:rsidRPr="0024372F">
        <w:rPr>
          <w:color w:val="000000" w:themeColor="text1"/>
        </w:rPr>
        <w:t>hực hiện theo Nghị quyết số 104/2023/NQ-HĐND ngày 14/7/2023 của HĐND tỉnh quy định về mức chi ngân sách nhà nước cho một số hoạt động khoa học và công nghệ trên địa bàn tỉnh Hà Tĩnh;</w:t>
      </w:r>
    </w:p>
    <w:p w14:paraId="08F6126E" w14:textId="4BA7A6AA" w:rsidR="00A66FF4" w:rsidRPr="00A66FF4" w:rsidRDefault="00CB341A" w:rsidP="0021772C">
      <w:pPr>
        <w:widowControl w:val="0"/>
        <w:spacing w:before="60"/>
        <w:ind w:firstLine="567"/>
        <w:jc w:val="both"/>
        <w:rPr>
          <w:color w:val="FF0000"/>
        </w:rPr>
      </w:pPr>
      <w:r>
        <w:tab/>
      </w:r>
      <w:r w:rsidR="00A66FF4" w:rsidRPr="00805042">
        <w:rPr>
          <w:color w:val="000000" w:themeColor="text1"/>
        </w:rPr>
        <w:t xml:space="preserve">- Chi biên soạn một số tài liệu phổ biến, giáo dục pháp luật, chuẩn tiếp cận pháp luật và hòa giải ở cơ sở đặc thù: </w:t>
      </w:r>
      <w:r w:rsidR="00E7473C" w:rsidRPr="00805042">
        <w:rPr>
          <w:color w:val="000000" w:themeColor="text1"/>
        </w:rPr>
        <w:t>T</w:t>
      </w:r>
      <w:r w:rsidR="00A66FF4" w:rsidRPr="00805042">
        <w:rPr>
          <w:color w:val="000000" w:themeColor="text1"/>
        </w:rPr>
        <w:t xml:space="preserve">ại cấp tỉnh quy định mức chi bằng mức tại khoản 6 Điều 3 Thông tư số 56/2023/TT-BTC; </w:t>
      </w:r>
      <w:r w:rsidR="00CE29E8">
        <w:rPr>
          <w:color w:val="000000" w:themeColor="text1"/>
        </w:rPr>
        <w:t xml:space="preserve">tại </w:t>
      </w:r>
      <w:r w:rsidR="00CE29E8" w:rsidRPr="00805042">
        <w:rPr>
          <w:color w:val="000000" w:themeColor="text1"/>
        </w:rPr>
        <w:t>cấp huyện và cấp xã</w:t>
      </w:r>
      <w:r w:rsidR="00CE29E8">
        <w:rPr>
          <w:color w:val="000000" w:themeColor="text1"/>
        </w:rPr>
        <w:t>,</w:t>
      </w:r>
      <w:r w:rsidR="00CE29E8" w:rsidRPr="00805042">
        <w:rPr>
          <w:color w:val="000000" w:themeColor="text1"/>
        </w:rPr>
        <w:t xml:space="preserve"> </w:t>
      </w:r>
      <w:r w:rsidR="00CE29E8">
        <w:rPr>
          <w:color w:val="000000" w:themeColor="text1"/>
        </w:rPr>
        <w:t xml:space="preserve">xuất phát từ tình hình thực tế nguồn ngân sách của từng cấp nên quy định </w:t>
      </w:r>
      <w:r w:rsidR="00CE29E8" w:rsidRPr="00805042">
        <w:rPr>
          <w:color w:val="000000" w:themeColor="text1"/>
        </w:rPr>
        <w:t>bằng 80% của cấp trên trực tiếp.</w:t>
      </w:r>
    </w:p>
    <w:p w14:paraId="5BAF27B5" w14:textId="78C448FF" w:rsidR="007A3043" w:rsidRPr="00805042" w:rsidRDefault="00CB341A" w:rsidP="0021772C">
      <w:pPr>
        <w:widowControl w:val="0"/>
        <w:spacing w:before="60"/>
        <w:ind w:firstLine="567"/>
        <w:jc w:val="both"/>
        <w:rPr>
          <w:color w:val="000000" w:themeColor="text1"/>
        </w:rPr>
      </w:pPr>
      <w:r>
        <w:tab/>
      </w:r>
      <w:r w:rsidR="00CE1F39" w:rsidRPr="00805042">
        <w:rPr>
          <w:color w:val="000000" w:themeColor="text1"/>
        </w:rPr>
        <w:t>- Chi xây dựng chương trình, đề án, kế hoạch cho công tác phổ biến, giáo dục pháp luật, chuẩn tiếp cận pháp luật và</w:t>
      </w:r>
      <w:r w:rsidR="008F00DC" w:rsidRPr="00805042">
        <w:rPr>
          <w:color w:val="000000" w:themeColor="text1"/>
        </w:rPr>
        <w:t xml:space="preserve"> hòa giải ở cơ sở trên địa bàn: </w:t>
      </w:r>
      <w:r w:rsidR="00CE15F1" w:rsidRPr="00805042">
        <w:rPr>
          <w:color w:val="000000" w:themeColor="text1"/>
        </w:rPr>
        <w:t>T</w:t>
      </w:r>
      <w:r w:rsidR="00F92836" w:rsidRPr="00805042">
        <w:rPr>
          <w:color w:val="000000" w:themeColor="text1"/>
        </w:rPr>
        <w:t xml:space="preserve">ại cấp tỉnh </w:t>
      </w:r>
      <w:r w:rsidR="008F00DC" w:rsidRPr="00805042">
        <w:rPr>
          <w:color w:val="000000" w:themeColor="text1"/>
        </w:rPr>
        <w:t>quy định bằng mức tại khoản 10 Điều 3 Thông tư số 56/2023/TT-BTC;</w:t>
      </w:r>
      <w:r w:rsidR="00F92836" w:rsidRPr="00805042">
        <w:rPr>
          <w:color w:val="000000" w:themeColor="text1"/>
        </w:rPr>
        <w:t xml:space="preserve"> </w:t>
      </w:r>
      <w:r w:rsidR="006C7356">
        <w:rPr>
          <w:color w:val="000000" w:themeColor="text1"/>
        </w:rPr>
        <w:t xml:space="preserve">tại </w:t>
      </w:r>
      <w:r w:rsidR="00F92836" w:rsidRPr="00805042">
        <w:rPr>
          <w:color w:val="000000" w:themeColor="text1"/>
        </w:rPr>
        <w:t>cấp huyện và cấp xã</w:t>
      </w:r>
      <w:r w:rsidR="006C7356">
        <w:rPr>
          <w:color w:val="000000" w:themeColor="text1"/>
        </w:rPr>
        <w:t>,</w:t>
      </w:r>
      <w:r w:rsidR="00F92836" w:rsidRPr="00805042">
        <w:rPr>
          <w:color w:val="000000" w:themeColor="text1"/>
        </w:rPr>
        <w:t xml:space="preserve"> </w:t>
      </w:r>
      <w:r w:rsidR="006C7356">
        <w:rPr>
          <w:color w:val="000000" w:themeColor="text1"/>
        </w:rPr>
        <w:t xml:space="preserve">xuất phát từ tình hình thực tế nguồn ngân sách của từng cấp </w:t>
      </w:r>
      <w:r w:rsidR="006C7356">
        <w:rPr>
          <w:color w:val="000000" w:themeColor="text1"/>
        </w:rPr>
        <w:lastRenderedPageBreak/>
        <w:t xml:space="preserve">nên quy định </w:t>
      </w:r>
      <w:r w:rsidR="00F92836" w:rsidRPr="00805042">
        <w:rPr>
          <w:color w:val="000000" w:themeColor="text1"/>
        </w:rPr>
        <w:t>bằng 80% của cấp trên trực tiếp.</w:t>
      </w:r>
    </w:p>
    <w:p w14:paraId="4FE68ABF" w14:textId="1E6BE32E" w:rsidR="007A3043" w:rsidRDefault="00673875" w:rsidP="0021772C">
      <w:pPr>
        <w:widowControl w:val="0"/>
        <w:spacing w:before="60"/>
        <w:ind w:firstLine="567"/>
        <w:jc w:val="both"/>
        <w:rPr>
          <w:color w:val="000000" w:themeColor="text1"/>
        </w:rPr>
      </w:pPr>
      <w:r>
        <w:tab/>
      </w:r>
      <w:r w:rsidR="00CE1F39" w:rsidRPr="00D02843">
        <w:rPr>
          <w:color w:val="000000" w:themeColor="text1"/>
        </w:rPr>
        <w:t>- Chi thù lao</w:t>
      </w:r>
      <w:r w:rsidR="006A329F">
        <w:rPr>
          <w:color w:val="000000" w:themeColor="text1"/>
        </w:rPr>
        <w:t xml:space="preserve"> </w:t>
      </w:r>
      <w:r w:rsidR="00D02843" w:rsidRPr="00D02843">
        <w:rPr>
          <w:color w:val="000000" w:themeColor="text1"/>
        </w:rPr>
        <w:t>báo cáo viên pháp luật, tuyên truyền viên pháp luật, hoà giải viên cơ sở, người được mời tham gia thực hiện phổ biến, giáo dục pháp luật, chuẩn tiếp cận pháp luật và hòa giải ở cơ sở; hướng dẫn sinh hoạt chuyên đề Câu lạc bộ pháp luật, nhóm nòng cốt với tư cách là giảng viên: Thực hiện theo chế độ thù lao giảng viên quy định Nghị quyết số 130/2018/NQ-HĐND</w:t>
      </w:r>
      <w:r w:rsidR="00E7473C" w:rsidRPr="00E7473C">
        <w:rPr>
          <w:color w:val="000000" w:themeColor="text1"/>
        </w:rPr>
        <w:t xml:space="preserve"> </w:t>
      </w:r>
      <w:r w:rsidR="00E7473C">
        <w:rPr>
          <w:color w:val="000000" w:themeColor="text1"/>
        </w:rPr>
        <w:t xml:space="preserve">ngày </w:t>
      </w:r>
      <w:r w:rsidR="00E7473C" w:rsidRPr="00E7473C">
        <w:rPr>
          <w:color w:val="000000" w:themeColor="text1"/>
        </w:rPr>
        <w:t>13/12/2018</w:t>
      </w:r>
      <w:r w:rsidR="00FC7936">
        <w:rPr>
          <w:color w:val="000000" w:themeColor="text1"/>
        </w:rPr>
        <w:t xml:space="preserve"> của Hội đồng nhân dân tỉnh Hà Tĩnh</w:t>
      </w:r>
      <w:r w:rsidR="00E7473C">
        <w:rPr>
          <w:color w:val="000000" w:themeColor="text1"/>
        </w:rPr>
        <w:t xml:space="preserve"> </w:t>
      </w:r>
      <w:r w:rsidR="00FC7936" w:rsidRPr="00FC7936">
        <w:rPr>
          <w:color w:val="000000" w:themeColor="text1"/>
        </w:rPr>
        <w:t>quy định về mức chi đào tạo, bồi dưỡng cán bộ, công chức, viên chức</w:t>
      </w:r>
      <w:r w:rsidR="00FC7936">
        <w:rPr>
          <w:color w:val="000000" w:themeColor="text1"/>
        </w:rPr>
        <w:t xml:space="preserve">. </w:t>
      </w:r>
    </w:p>
    <w:p w14:paraId="2703893C" w14:textId="795C01DD" w:rsidR="006A329F" w:rsidRPr="00D02843" w:rsidRDefault="006A329F" w:rsidP="0021772C">
      <w:pPr>
        <w:widowControl w:val="0"/>
        <w:spacing w:before="60"/>
        <w:ind w:firstLine="567"/>
        <w:jc w:val="both"/>
        <w:rPr>
          <w:color w:val="000000" w:themeColor="text1"/>
        </w:rPr>
      </w:pPr>
      <w:r w:rsidRPr="006A329F">
        <w:rPr>
          <w:color w:val="000000" w:themeColor="text1"/>
        </w:rPr>
        <w:t>Trường hợp thực hiện phổ biến giáo dục pháp luật cho các đối tượng đặc thù theo quy định tại các Điều 17, 18, 19, 20, 21, 22 của Luật Phổ biến, giáo dục pháp luật được hưởng thêm 20% mức thù lao được nhận</w:t>
      </w:r>
      <w:r>
        <w:rPr>
          <w:color w:val="000000" w:themeColor="text1"/>
        </w:rPr>
        <w:t>.</w:t>
      </w:r>
    </w:p>
    <w:p w14:paraId="0A9E681A" w14:textId="25BF970A" w:rsidR="007A3043" w:rsidRDefault="00CE1F39" w:rsidP="0021772C">
      <w:pPr>
        <w:widowControl w:val="0"/>
        <w:spacing w:before="60"/>
        <w:ind w:firstLine="567"/>
        <w:jc w:val="both"/>
      </w:pPr>
      <w:r>
        <w:t>- Chi xây dựng và duy trì sinh hoạt Câu l</w:t>
      </w:r>
      <w:r w:rsidR="0050429D">
        <w:t xml:space="preserve">ạc bộ pháp luật, nhóm nòng cốt: </w:t>
      </w:r>
      <w:r w:rsidR="0050429D" w:rsidRPr="0050429D">
        <w:t>quy định bằng mức tại khoản 1</w:t>
      </w:r>
      <w:r w:rsidR="0050429D">
        <w:t>2</w:t>
      </w:r>
      <w:r w:rsidR="0050429D" w:rsidRPr="0050429D">
        <w:t xml:space="preserve"> Điều 3 Thông tư số 56/2023/TT-BTC;</w:t>
      </w:r>
    </w:p>
    <w:p w14:paraId="7A0C7034" w14:textId="349EDFEC" w:rsidR="007A3043" w:rsidRDefault="00673875" w:rsidP="0021772C">
      <w:pPr>
        <w:widowControl w:val="0"/>
        <w:spacing w:before="60"/>
        <w:ind w:firstLine="567"/>
        <w:jc w:val="both"/>
      </w:pPr>
      <w:r>
        <w:tab/>
      </w:r>
      <w:r w:rsidR="00CE1F39">
        <w:t>- Chi tổ chức các cuộc thi, hội thi về công tác phổ biến, giáo dục pháp luật, chuẩn tiếp cận pháp luật và</w:t>
      </w:r>
      <w:r w:rsidR="004C1802">
        <w:t xml:space="preserve"> hòa giải ở cơ</w:t>
      </w:r>
      <w:r w:rsidR="00A66FF4">
        <w:t xml:space="preserve"> sở trên địa bàn: </w:t>
      </w:r>
      <w:r w:rsidR="00805042">
        <w:t>T</w:t>
      </w:r>
      <w:r w:rsidR="00A66FF4">
        <w:t xml:space="preserve">ại cấp tỉnh </w:t>
      </w:r>
      <w:r w:rsidR="004C1802">
        <w:t xml:space="preserve">quy định mức chi </w:t>
      </w:r>
      <w:r w:rsidR="000629D0">
        <w:t xml:space="preserve">bằng </w:t>
      </w:r>
      <w:r w:rsidR="004C1802">
        <w:t xml:space="preserve">mức </w:t>
      </w:r>
      <w:r w:rsidR="004C1802" w:rsidRPr="0050429D">
        <w:t>tại khoản 1</w:t>
      </w:r>
      <w:r w:rsidR="004C1802">
        <w:t>3</w:t>
      </w:r>
      <w:r w:rsidR="004C1802" w:rsidRPr="0050429D">
        <w:t xml:space="preserve"> Điều 3 Thông tư số 56/2023/TT-BTC</w:t>
      </w:r>
      <w:r w:rsidR="004C1802">
        <w:t xml:space="preserve">; </w:t>
      </w:r>
      <w:r w:rsidR="00CE29E8">
        <w:rPr>
          <w:color w:val="000000" w:themeColor="text1"/>
        </w:rPr>
        <w:t xml:space="preserve">tại </w:t>
      </w:r>
      <w:r w:rsidR="00CE29E8" w:rsidRPr="00805042">
        <w:rPr>
          <w:color w:val="000000" w:themeColor="text1"/>
        </w:rPr>
        <w:t>cấp huyện và cấp xã</w:t>
      </w:r>
      <w:r w:rsidR="00CE29E8">
        <w:rPr>
          <w:color w:val="000000" w:themeColor="text1"/>
        </w:rPr>
        <w:t>,</w:t>
      </w:r>
      <w:r w:rsidR="00CE29E8" w:rsidRPr="00805042">
        <w:rPr>
          <w:color w:val="000000" w:themeColor="text1"/>
        </w:rPr>
        <w:t xml:space="preserve"> </w:t>
      </w:r>
      <w:r w:rsidR="00CE29E8">
        <w:rPr>
          <w:color w:val="000000" w:themeColor="text1"/>
        </w:rPr>
        <w:t xml:space="preserve">xuất phát từ tình hình thực tế nguồn ngân sách của từng cấp nên quy định </w:t>
      </w:r>
      <w:r w:rsidR="00CE29E8" w:rsidRPr="00805042">
        <w:rPr>
          <w:color w:val="000000" w:themeColor="text1"/>
        </w:rPr>
        <w:t>bằng 80% của cấp trên trực tiếp</w:t>
      </w:r>
      <w:r w:rsidR="004C1802">
        <w:t>.</w:t>
      </w:r>
    </w:p>
    <w:p w14:paraId="5C87025B" w14:textId="6FECE1FB" w:rsidR="00264398" w:rsidRPr="00805042" w:rsidRDefault="00673875" w:rsidP="0021772C">
      <w:pPr>
        <w:widowControl w:val="0"/>
        <w:spacing w:before="60"/>
        <w:ind w:firstLine="567"/>
        <w:jc w:val="both"/>
        <w:rPr>
          <w:color w:val="000000" w:themeColor="text1"/>
        </w:rPr>
      </w:pPr>
      <w:r>
        <w:tab/>
      </w:r>
      <w:r w:rsidR="00CE1F39" w:rsidRPr="00805042">
        <w:rPr>
          <w:color w:val="000000" w:themeColor="text1"/>
        </w:rPr>
        <w:t>- Chi thực hiện báo cáo thống kê về hoạt động công tác phổ biến, giáo dục pháp luật, chuẩn tiếp cận pháp luật và hòa g</w:t>
      </w:r>
      <w:r w:rsidR="00B367CA" w:rsidRPr="00805042">
        <w:rPr>
          <w:color w:val="000000" w:themeColor="text1"/>
        </w:rPr>
        <w:t xml:space="preserve">iải ở cơ sở trên địa bàn: </w:t>
      </w:r>
      <w:r w:rsidR="00264398" w:rsidRPr="00805042">
        <w:rPr>
          <w:color w:val="000000" w:themeColor="text1"/>
        </w:rPr>
        <w:t xml:space="preserve">Tại cấp tỉnh quy định mức chi bằng mức tại khoản 14 Điều 3 Thông tư số 56/2023/TT-BTC; </w:t>
      </w:r>
      <w:r w:rsidR="00084CEC">
        <w:rPr>
          <w:color w:val="000000" w:themeColor="text1"/>
        </w:rPr>
        <w:t xml:space="preserve">tại </w:t>
      </w:r>
      <w:r w:rsidR="00084CEC" w:rsidRPr="00805042">
        <w:rPr>
          <w:color w:val="000000" w:themeColor="text1"/>
        </w:rPr>
        <w:t>cấp huyện và cấp xã</w:t>
      </w:r>
      <w:r w:rsidR="00084CEC">
        <w:rPr>
          <w:color w:val="000000" w:themeColor="text1"/>
        </w:rPr>
        <w:t>,</w:t>
      </w:r>
      <w:r w:rsidR="00084CEC" w:rsidRPr="00805042">
        <w:rPr>
          <w:color w:val="000000" w:themeColor="text1"/>
        </w:rPr>
        <w:t xml:space="preserve"> </w:t>
      </w:r>
      <w:r w:rsidR="00084CEC">
        <w:rPr>
          <w:color w:val="000000" w:themeColor="text1"/>
        </w:rPr>
        <w:t xml:space="preserve">xuất phát từ tình hình thực tế nguồn ngân sách của từng cấp nên quy định </w:t>
      </w:r>
      <w:r w:rsidR="00084CEC" w:rsidRPr="00805042">
        <w:rPr>
          <w:color w:val="000000" w:themeColor="text1"/>
        </w:rPr>
        <w:t>bằng 80% của cấp trên trực tiếp</w:t>
      </w:r>
      <w:r w:rsidR="00264398" w:rsidRPr="00805042">
        <w:rPr>
          <w:color w:val="000000" w:themeColor="text1"/>
        </w:rPr>
        <w:t>.</w:t>
      </w:r>
    </w:p>
    <w:p w14:paraId="17A6D66E" w14:textId="2D2C3273" w:rsidR="00673875" w:rsidRDefault="00673875" w:rsidP="0021772C">
      <w:pPr>
        <w:widowControl w:val="0"/>
        <w:spacing w:before="60"/>
        <w:ind w:firstLine="567"/>
        <w:jc w:val="both"/>
      </w:pPr>
      <w:r w:rsidRPr="00805042">
        <w:rPr>
          <w:color w:val="000000" w:themeColor="text1"/>
        </w:rPr>
        <w:tab/>
      </w:r>
      <w:r w:rsidR="00CE1F39">
        <w:t>- Các khoản chi</w:t>
      </w:r>
      <w:r w:rsidR="008F00DC">
        <w:t xml:space="preserve"> cho công tác hòa giải ở cơ sở (</w:t>
      </w:r>
      <w:r w:rsidR="00CE1F39">
        <w:t>Chi thù lao; hỗ trợ chi phí y tế đối với hòa giải viên bị tai nạn trong khi thực hiện hoạt động hòa giải ở cơ sở; chi hỗ trợ thu nhập thực tế bị mất hoặc giảm sút đối với hòa giải viên bị tai nạn trong khi thực hiện hoạt động hòa giải ở cơ sở; chi hỗ trợ chi phí mai táng cho người tổ chức mai táng hòa giải viên gặp tai nạn rủi ro bị thiệt hại về tính mạng; chi hỗ trợ hoạt động của tổ hòa giải</w:t>
      </w:r>
      <w:r w:rsidR="008F00DC">
        <w:t xml:space="preserve">): </w:t>
      </w:r>
      <w:r w:rsidR="00FC7936">
        <w:t>Q</w:t>
      </w:r>
      <w:r w:rsidR="008F00DC">
        <w:t>uy định bằng mức chi tại khoản 17 Điều 3 Thông tư số 56/2023/TT-BTC.</w:t>
      </w:r>
    </w:p>
    <w:p w14:paraId="44ED0329" w14:textId="26966038" w:rsidR="006A329F" w:rsidRDefault="006A329F" w:rsidP="0021772C">
      <w:pPr>
        <w:widowControl w:val="0"/>
        <w:spacing w:before="60"/>
        <w:ind w:firstLine="567"/>
        <w:jc w:val="both"/>
      </w:pPr>
      <w:r>
        <w:t xml:space="preserve">- </w:t>
      </w:r>
      <w:r w:rsidRPr="006A329F">
        <w:t>Chi kiểm tra xử lý, rà soát hệ thống văn bản quy phạm pháp luật trong lĩnh vực công tác phổ biến, giáo dục pháp luật, chuẩn tiếp cận pháp luật và hòa giải ở cơ sở trên địa bàn</w:t>
      </w:r>
      <w:r>
        <w:t xml:space="preserve">: </w:t>
      </w:r>
      <w:r w:rsidRPr="006A329F">
        <w:t>Thực hiện theo Nghị quyết số 110/2023/NQ-HĐND ngày 14/7/2023 của HĐND tỉnh về đảm bảo kinh phí cho công tác xây dựng văn bản quy phạm pháp luật và hỗ trợ pháp lý cho doanh nghiệp</w:t>
      </w:r>
      <w:r>
        <w:t>.</w:t>
      </w:r>
    </w:p>
    <w:p w14:paraId="29ACFD6A" w14:textId="77777777" w:rsidR="00D2490A" w:rsidRDefault="00D02843" w:rsidP="0021772C">
      <w:pPr>
        <w:widowControl w:val="0"/>
        <w:spacing w:before="60"/>
        <w:ind w:firstLine="567"/>
        <w:jc w:val="both"/>
      </w:pPr>
      <w:r>
        <w:t xml:space="preserve">- Các nội dung chi khác có liên quan công tác phổ biến, giáo dục pháp luật, chuẩn tiếp cận pháp luật và hòa giải ở cơ sở trên địa bàn chưa được quy định tại Nghị quyết sẽ áp dụng theo Thông tư số 56/2023/TT-BTC ngày 18/8/2023 của Bộ trưởng Bộ Tài chính quy định việc lập dự toán, quản lý, sử dụng và quyết toán kinh phí bảo đảm cho công tác phổ biến, giáo dục pháp luật, chuẩn tiếp cận pháp luật và hòa giải ở cơ sở. </w:t>
      </w:r>
    </w:p>
    <w:p w14:paraId="406DB0C8" w14:textId="21948839" w:rsidR="00673875" w:rsidRPr="00AB62C5" w:rsidRDefault="00AA524B" w:rsidP="0021772C">
      <w:pPr>
        <w:widowControl w:val="0"/>
        <w:spacing w:before="60"/>
        <w:ind w:firstLine="567"/>
        <w:jc w:val="both"/>
        <w:rPr>
          <w:bCs/>
        </w:rPr>
      </w:pPr>
      <w:r w:rsidRPr="00D07818">
        <w:rPr>
          <w:b/>
        </w:rPr>
        <w:t xml:space="preserve">V. </w:t>
      </w:r>
      <w:r w:rsidR="002E61FC" w:rsidRPr="005A6F46">
        <w:rPr>
          <w:b/>
        </w:rPr>
        <w:t>NHỮNG VẤN ĐỀ XIN Ý KIẾN</w:t>
      </w:r>
      <w:r w:rsidR="00AB62C5">
        <w:rPr>
          <w:b/>
        </w:rPr>
        <w:t xml:space="preserve">: </w:t>
      </w:r>
      <w:r w:rsidR="00AB62C5">
        <w:rPr>
          <w:bCs/>
        </w:rPr>
        <w:t>Không</w:t>
      </w:r>
    </w:p>
    <w:p w14:paraId="5793E2B6" w14:textId="733B3639" w:rsidR="00AA524B" w:rsidRPr="004D21BD" w:rsidRDefault="00AA524B" w:rsidP="0021772C">
      <w:pPr>
        <w:widowControl w:val="0"/>
        <w:spacing w:before="60"/>
        <w:ind w:firstLine="567"/>
        <w:jc w:val="both"/>
        <w:rPr>
          <w:spacing w:val="-6"/>
        </w:rPr>
      </w:pPr>
      <w:r w:rsidRPr="004D21BD">
        <w:rPr>
          <w:spacing w:val="-6"/>
        </w:rPr>
        <w:lastRenderedPageBreak/>
        <w:t xml:space="preserve">Trên đây là Tờ trình </w:t>
      </w:r>
      <w:r w:rsidR="002E61FC" w:rsidRPr="004D21BD">
        <w:rPr>
          <w:spacing w:val="-6"/>
        </w:rPr>
        <w:t>dự thảo</w:t>
      </w:r>
      <w:r w:rsidR="00A00983" w:rsidRPr="004D21BD">
        <w:rPr>
          <w:spacing w:val="-6"/>
        </w:rPr>
        <w:t xml:space="preserve"> Nghị quyết quy định mức chi cho công tác phổ biến, giáo dục pháp</w:t>
      </w:r>
      <w:r w:rsidR="001B5520" w:rsidRPr="004D21BD">
        <w:rPr>
          <w:spacing w:val="-6"/>
        </w:rPr>
        <w:t xml:space="preserve"> </w:t>
      </w:r>
      <w:r w:rsidR="00A00983" w:rsidRPr="004D21BD">
        <w:rPr>
          <w:spacing w:val="-6"/>
        </w:rPr>
        <w:t xml:space="preserve">luật, chuẩn tiếp cận pháp luật và hòa giải ở cơ sở trên địa bàn tỉnh Hà Tĩnh, UBND tỉnh </w:t>
      </w:r>
      <w:r w:rsidRPr="004D21BD">
        <w:rPr>
          <w:spacing w:val="-6"/>
        </w:rPr>
        <w:t>xin kính trình</w:t>
      </w:r>
      <w:r w:rsidR="00A00983" w:rsidRPr="004D21BD">
        <w:rPr>
          <w:spacing w:val="-6"/>
        </w:rPr>
        <w:t xml:space="preserve"> </w:t>
      </w:r>
      <w:r w:rsidR="002E61FC" w:rsidRPr="004D21BD">
        <w:rPr>
          <w:spacing w:val="-6"/>
        </w:rPr>
        <w:t>Hội đồng nhân dân</w:t>
      </w:r>
      <w:r w:rsidR="00A00983" w:rsidRPr="004D21BD">
        <w:rPr>
          <w:spacing w:val="-6"/>
        </w:rPr>
        <w:t xml:space="preserve"> tỉnh</w:t>
      </w:r>
      <w:r w:rsidRPr="004D21BD">
        <w:rPr>
          <w:spacing w:val="-6"/>
        </w:rPr>
        <w:t xml:space="preserve"> xem xét, </w:t>
      </w:r>
      <w:r w:rsidR="002E61FC" w:rsidRPr="004D21BD">
        <w:rPr>
          <w:spacing w:val="-6"/>
        </w:rPr>
        <w:t>quyết định</w:t>
      </w:r>
      <w:r w:rsidRPr="004D21BD">
        <w:rPr>
          <w:spacing w:val="-6"/>
        </w:rPr>
        <w:t>./.</w:t>
      </w:r>
    </w:p>
    <w:p w14:paraId="284B65F6" w14:textId="77777777" w:rsidR="00E64816" w:rsidRPr="00E64816" w:rsidRDefault="00E64816" w:rsidP="0021772C">
      <w:pPr>
        <w:widowControl w:val="0"/>
        <w:spacing w:before="60"/>
        <w:ind w:firstLine="567"/>
        <w:jc w:val="both"/>
        <w:rPr>
          <w:sz w:val="4"/>
          <w:szCs w:val="4"/>
        </w:rPr>
      </w:pPr>
    </w:p>
    <w:tbl>
      <w:tblPr>
        <w:tblW w:w="9303" w:type="dxa"/>
        <w:jc w:val="center"/>
        <w:tblLook w:val="04A0" w:firstRow="1" w:lastRow="0" w:firstColumn="1" w:lastColumn="0" w:noHBand="0" w:noVBand="1"/>
      </w:tblPr>
      <w:tblGrid>
        <w:gridCol w:w="4253"/>
        <w:gridCol w:w="5050"/>
      </w:tblGrid>
      <w:tr w:rsidR="001B5520" w14:paraId="6910BE90" w14:textId="77777777" w:rsidTr="001B5520">
        <w:trPr>
          <w:jc w:val="center"/>
        </w:trPr>
        <w:tc>
          <w:tcPr>
            <w:tcW w:w="4253" w:type="dxa"/>
          </w:tcPr>
          <w:p w14:paraId="5F6D41F9" w14:textId="77777777" w:rsidR="001B5520" w:rsidRDefault="001B5520" w:rsidP="004D21BD">
            <w:pPr>
              <w:ind w:firstLine="179"/>
              <w:rPr>
                <w:b/>
                <w:i/>
                <w:sz w:val="24"/>
              </w:rPr>
            </w:pPr>
            <w:r>
              <w:rPr>
                <w:b/>
                <w:i/>
                <w:sz w:val="24"/>
              </w:rPr>
              <w:t xml:space="preserve">Nơi nhận: </w:t>
            </w:r>
          </w:p>
          <w:p w14:paraId="7D88CFD6" w14:textId="77777777" w:rsidR="001B5520" w:rsidRPr="00856F78" w:rsidRDefault="001B5520" w:rsidP="004D21BD">
            <w:pPr>
              <w:ind w:firstLine="179"/>
              <w:rPr>
                <w:sz w:val="22"/>
              </w:rPr>
            </w:pPr>
            <w:r w:rsidRPr="00856F78">
              <w:rPr>
                <w:sz w:val="22"/>
              </w:rPr>
              <w:t>- Như trên;</w:t>
            </w:r>
          </w:p>
          <w:p w14:paraId="049A318B" w14:textId="77777777" w:rsidR="001B5520" w:rsidRPr="00856F78" w:rsidRDefault="001B5520" w:rsidP="004D21BD">
            <w:pPr>
              <w:ind w:firstLine="179"/>
              <w:rPr>
                <w:bCs/>
                <w:sz w:val="22"/>
              </w:rPr>
            </w:pPr>
            <w:r w:rsidRPr="00856F78">
              <w:rPr>
                <w:bCs/>
                <w:sz w:val="22"/>
              </w:rPr>
              <w:t>- Chủ tịch, các PCT UBND tỉnh;</w:t>
            </w:r>
          </w:p>
          <w:p w14:paraId="2A6B4B15" w14:textId="77777777" w:rsidR="001B5520" w:rsidRPr="00856F78" w:rsidRDefault="001B5520" w:rsidP="004D21BD">
            <w:pPr>
              <w:ind w:firstLine="179"/>
              <w:rPr>
                <w:sz w:val="22"/>
              </w:rPr>
            </w:pPr>
            <w:r w:rsidRPr="00856F78">
              <w:rPr>
                <w:sz w:val="22"/>
              </w:rPr>
              <w:t>- Ban Pháp chế HĐND tỉnh;</w:t>
            </w:r>
          </w:p>
          <w:p w14:paraId="712C3732" w14:textId="77777777" w:rsidR="001B5520" w:rsidRPr="00856F78" w:rsidRDefault="001B5520" w:rsidP="004D21BD">
            <w:pPr>
              <w:ind w:firstLine="179"/>
              <w:rPr>
                <w:sz w:val="22"/>
              </w:rPr>
            </w:pPr>
            <w:r w:rsidRPr="00856F78">
              <w:rPr>
                <w:sz w:val="22"/>
              </w:rPr>
              <w:t>- Văn phòng Đoàn ĐBQH và HĐND tỉnh;</w:t>
            </w:r>
          </w:p>
          <w:p w14:paraId="484E7FCF" w14:textId="77777777" w:rsidR="001B5520" w:rsidRPr="00856F78" w:rsidRDefault="001B5520" w:rsidP="004D21BD">
            <w:pPr>
              <w:ind w:firstLine="179"/>
              <w:rPr>
                <w:bCs/>
                <w:sz w:val="22"/>
              </w:rPr>
            </w:pPr>
            <w:r w:rsidRPr="00856F78">
              <w:rPr>
                <w:bCs/>
                <w:sz w:val="22"/>
              </w:rPr>
              <w:t>- Chánh VP, các PCVP UBND tỉnh;</w:t>
            </w:r>
          </w:p>
          <w:p w14:paraId="068A11C7" w14:textId="77777777" w:rsidR="001B5520" w:rsidRDefault="001B5520" w:rsidP="004D21BD">
            <w:pPr>
              <w:ind w:firstLine="179"/>
              <w:rPr>
                <w:bCs/>
                <w:sz w:val="24"/>
                <w:szCs w:val="24"/>
              </w:rPr>
            </w:pPr>
            <w:r w:rsidRPr="00856F78">
              <w:rPr>
                <w:bCs/>
                <w:sz w:val="22"/>
              </w:rPr>
              <w:t>- Lưu: VT, NC</w:t>
            </w:r>
            <w:r w:rsidRPr="00856F78">
              <w:rPr>
                <w:bCs/>
                <w:sz w:val="22"/>
                <w:vertAlign w:val="subscript"/>
              </w:rPr>
              <w:t>3</w:t>
            </w:r>
            <w:r w:rsidRPr="00856F78">
              <w:rPr>
                <w:bCs/>
                <w:sz w:val="22"/>
              </w:rPr>
              <w:t>.</w:t>
            </w:r>
          </w:p>
        </w:tc>
        <w:tc>
          <w:tcPr>
            <w:tcW w:w="5050" w:type="dxa"/>
          </w:tcPr>
          <w:p w14:paraId="79D8B025" w14:textId="77777777" w:rsidR="001B5520" w:rsidRDefault="001B5520" w:rsidP="0021772C">
            <w:pPr>
              <w:ind w:firstLine="567"/>
              <w:jc w:val="center"/>
              <w:rPr>
                <w:b/>
                <w:sz w:val="26"/>
                <w:szCs w:val="26"/>
              </w:rPr>
            </w:pPr>
            <w:r>
              <w:rPr>
                <w:b/>
                <w:sz w:val="26"/>
                <w:szCs w:val="26"/>
              </w:rPr>
              <w:t>TM. ỦY BAN NHÂN DÂN</w:t>
            </w:r>
          </w:p>
          <w:p w14:paraId="08EA65C5" w14:textId="77777777" w:rsidR="001B5520" w:rsidRDefault="001B5520" w:rsidP="0021772C">
            <w:pPr>
              <w:ind w:firstLine="567"/>
              <w:jc w:val="center"/>
              <w:rPr>
                <w:b/>
                <w:sz w:val="26"/>
                <w:szCs w:val="26"/>
              </w:rPr>
            </w:pPr>
            <w:r>
              <w:rPr>
                <w:b/>
                <w:sz w:val="26"/>
                <w:szCs w:val="26"/>
              </w:rPr>
              <w:t>KT. CHỦ TỊCH</w:t>
            </w:r>
          </w:p>
          <w:p w14:paraId="234EE074" w14:textId="77777777" w:rsidR="001B5520" w:rsidRDefault="001B5520" w:rsidP="0021772C">
            <w:pPr>
              <w:ind w:firstLine="567"/>
              <w:jc w:val="center"/>
              <w:rPr>
                <w:b/>
                <w:sz w:val="26"/>
                <w:szCs w:val="26"/>
              </w:rPr>
            </w:pPr>
            <w:r>
              <w:rPr>
                <w:b/>
                <w:sz w:val="26"/>
                <w:szCs w:val="26"/>
              </w:rPr>
              <w:t>PHÓ CHỦ TỊCH</w:t>
            </w:r>
          </w:p>
          <w:p w14:paraId="24058A39" w14:textId="77777777" w:rsidR="001B5520" w:rsidRPr="00856F78" w:rsidRDefault="001B5520" w:rsidP="0021772C">
            <w:pPr>
              <w:ind w:firstLine="567"/>
              <w:jc w:val="center"/>
              <w:rPr>
                <w:b/>
                <w:sz w:val="26"/>
              </w:rPr>
            </w:pPr>
          </w:p>
          <w:p w14:paraId="32601F73" w14:textId="77777777" w:rsidR="001B5520" w:rsidRDefault="001B5520" w:rsidP="0021772C">
            <w:pPr>
              <w:ind w:firstLine="567"/>
              <w:jc w:val="center"/>
              <w:rPr>
                <w:b/>
                <w:sz w:val="26"/>
              </w:rPr>
            </w:pPr>
          </w:p>
          <w:p w14:paraId="2CA3413E" w14:textId="77777777" w:rsidR="001B5520" w:rsidRPr="00856F78" w:rsidRDefault="001B5520" w:rsidP="0021772C">
            <w:pPr>
              <w:ind w:firstLine="567"/>
              <w:jc w:val="center"/>
              <w:rPr>
                <w:b/>
                <w:sz w:val="12"/>
              </w:rPr>
            </w:pPr>
          </w:p>
          <w:p w14:paraId="0E0A9F6C" w14:textId="77777777" w:rsidR="001B5520" w:rsidRDefault="001B5520" w:rsidP="0021772C">
            <w:pPr>
              <w:ind w:firstLine="567"/>
              <w:jc w:val="center"/>
              <w:rPr>
                <w:b/>
              </w:rPr>
            </w:pPr>
          </w:p>
          <w:p w14:paraId="4892B90B" w14:textId="77777777" w:rsidR="001B5520" w:rsidRDefault="001B5520" w:rsidP="0021772C">
            <w:pPr>
              <w:ind w:firstLine="567"/>
              <w:jc w:val="center"/>
              <w:rPr>
                <w:b/>
                <w:sz w:val="14"/>
                <w:szCs w:val="14"/>
              </w:rPr>
            </w:pPr>
          </w:p>
          <w:p w14:paraId="3FD1A76C" w14:textId="77777777" w:rsidR="001B5520" w:rsidRDefault="001B5520" w:rsidP="0021772C">
            <w:pPr>
              <w:ind w:firstLine="567"/>
              <w:jc w:val="center"/>
              <w:rPr>
                <w:b/>
              </w:rPr>
            </w:pPr>
            <w:r>
              <w:rPr>
                <w:b/>
              </w:rPr>
              <w:t>Nguyễn Hồng Lĩnh</w:t>
            </w:r>
          </w:p>
        </w:tc>
      </w:tr>
    </w:tbl>
    <w:p w14:paraId="426B7C78" w14:textId="77777777" w:rsidR="001B5520" w:rsidRPr="00D07818" w:rsidRDefault="001B5520" w:rsidP="0021772C">
      <w:pPr>
        <w:pStyle w:val="NormalWeb"/>
        <w:shd w:val="clear" w:color="auto" w:fill="FFFFFF"/>
        <w:spacing w:before="0" w:beforeAutospacing="0" w:after="0" w:afterAutospacing="0"/>
        <w:ind w:firstLine="567"/>
        <w:jc w:val="center"/>
      </w:pPr>
    </w:p>
    <w:sectPr w:rsidR="001B5520" w:rsidRPr="00D07818" w:rsidSect="00042928">
      <w:headerReference w:type="default" r:id="rId6"/>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429F16" w14:textId="77777777" w:rsidR="00042928" w:rsidRDefault="00042928" w:rsidP="004D61BF">
      <w:r>
        <w:separator/>
      </w:r>
    </w:p>
  </w:endnote>
  <w:endnote w:type="continuationSeparator" w:id="0">
    <w:p w14:paraId="617B4899" w14:textId="77777777" w:rsidR="00042928" w:rsidRDefault="00042928" w:rsidP="004D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007100" w14:textId="77777777" w:rsidR="00042928" w:rsidRDefault="00042928" w:rsidP="004D61BF">
      <w:r>
        <w:separator/>
      </w:r>
    </w:p>
  </w:footnote>
  <w:footnote w:type="continuationSeparator" w:id="0">
    <w:p w14:paraId="1691A644" w14:textId="77777777" w:rsidR="00042928" w:rsidRDefault="00042928" w:rsidP="004D6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92219708"/>
      <w:docPartObj>
        <w:docPartGallery w:val="Page Numbers (Top of Page)"/>
        <w:docPartUnique/>
      </w:docPartObj>
    </w:sdtPr>
    <w:sdtEndPr>
      <w:rPr>
        <w:noProof/>
      </w:rPr>
    </w:sdtEndPr>
    <w:sdtContent>
      <w:p w14:paraId="6B7C3613" w14:textId="280C0AFF" w:rsidR="004D61BF" w:rsidRDefault="004D61B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EB6E615" w14:textId="77777777" w:rsidR="004D61BF" w:rsidRDefault="004D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24B"/>
    <w:rsid w:val="00035C03"/>
    <w:rsid w:val="00042928"/>
    <w:rsid w:val="000629D0"/>
    <w:rsid w:val="00084CEC"/>
    <w:rsid w:val="000C280E"/>
    <w:rsid w:val="00116090"/>
    <w:rsid w:val="00145DC1"/>
    <w:rsid w:val="001B5520"/>
    <w:rsid w:val="001D4B0D"/>
    <w:rsid w:val="0021772C"/>
    <w:rsid w:val="0024372F"/>
    <w:rsid w:val="00264398"/>
    <w:rsid w:val="002B424E"/>
    <w:rsid w:val="002C1ECC"/>
    <w:rsid w:val="002E61FC"/>
    <w:rsid w:val="00302132"/>
    <w:rsid w:val="003268CF"/>
    <w:rsid w:val="00373CBA"/>
    <w:rsid w:val="00416AD0"/>
    <w:rsid w:val="00430CAD"/>
    <w:rsid w:val="00447813"/>
    <w:rsid w:val="004506A8"/>
    <w:rsid w:val="004C1802"/>
    <w:rsid w:val="004D21BD"/>
    <w:rsid w:val="004D5C99"/>
    <w:rsid w:val="004D61BF"/>
    <w:rsid w:val="004D701E"/>
    <w:rsid w:val="004E4048"/>
    <w:rsid w:val="0050429D"/>
    <w:rsid w:val="005B2F4B"/>
    <w:rsid w:val="005C4E96"/>
    <w:rsid w:val="0065007F"/>
    <w:rsid w:val="00651D87"/>
    <w:rsid w:val="00660941"/>
    <w:rsid w:val="00673875"/>
    <w:rsid w:val="006A329F"/>
    <w:rsid w:val="006A47A9"/>
    <w:rsid w:val="006C7356"/>
    <w:rsid w:val="007167AA"/>
    <w:rsid w:val="00766AF1"/>
    <w:rsid w:val="007A1CD6"/>
    <w:rsid w:val="007A3043"/>
    <w:rsid w:val="007D62F3"/>
    <w:rsid w:val="007F360D"/>
    <w:rsid w:val="00805042"/>
    <w:rsid w:val="00813B17"/>
    <w:rsid w:val="00824F9F"/>
    <w:rsid w:val="0086696C"/>
    <w:rsid w:val="00892EBC"/>
    <w:rsid w:val="008A3715"/>
    <w:rsid w:val="008F00DC"/>
    <w:rsid w:val="00914344"/>
    <w:rsid w:val="0095072E"/>
    <w:rsid w:val="009C412E"/>
    <w:rsid w:val="00A00983"/>
    <w:rsid w:val="00A020FA"/>
    <w:rsid w:val="00A33519"/>
    <w:rsid w:val="00A42D5F"/>
    <w:rsid w:val="00A521B8"/>
    <w:rsid w:val="00A54754"/>
    <w:rsid w:val="00A62A2E"/>
    <w:rsid w:val="00A66FF4"/>
    <w:rsid w:val="00AA524B"/>
    <w:rsid w:val="00AA72C0"/>
    <w:rsid w:val="00AB62C5"/>
    <w:rsid w:val="00AC0208"/>
    <w:rsid w:val="00AE3E31"/>
    <w:rsid w:val="00B073D7"/>
    <w:rsid w:val="00B367CA"/>
    <w:rsid w:val="00B4332A"/>
    <w:rsid w:val="00BE7AA5"/>
    <w:rsid w:val="00C1355E"/>
    <w:rsid w:val="00C22746"/>
    <w:rsid w:val="00C36F92"/>
    <w:rsid w:val="00C712D0"/>
    <w:rsid w:val="00CB341A"/>
    <w:rsid w:val="00CD7953"/>
    <w:rsid w:val="00CE15F1"/>
    <w:rsid w:val="00CE1F39"/>
    <w:rsid w:val="00CE29E8"/>
    <w:rsid w:val="00D02843"/>
    <w:rsid w:val="00D2490A"/>
    <w:rsid w:val="00D837D1"/>
    <w:rsid w:val="00E02026"/>
    <w:rsid w:val="00E1072A"/>
    <w:rsid w:val="00E3473A"/>
    <w:rsid w:val="00E64816"/>
    <w:rsid w:val="00E714B5"/>
    <w:rsid w:val="00E7473C"/>
    <w:rsid w:val="00E80D7D"/>
    <w:rsid w:val="00E84330"/>
    <w:rsid w:val="00F33DA8"/>
    <w:rsid w:val="00F61694"/>
    <w:rsid w:val="00F6427C"/>
    <w:rsid w:val="00F84BA5"/>
    <w:rsid w:val="00F92836"/>
    <w:rsid w:val="00F970FC"/>
    <w:rsid w:val="00FB355C"/>
    <w:rsid w:val="00FC7936"/>
    <w:rsid w:val="00FD109F"/>
    <w:rsid w:val="00FF4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54C9"/>
  <w15:chartTrackingRefBased/>
  <w15:docId w15:val="{FA144371-A22A-4047-9B90-F0B84263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24B"/>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AA524B"/>
    <w:pPr>
      <w:spacing w:after="160" w:line="240" w:lineRule="exact"/>
    </w:pPr>
    <w:rPr>
      <w:rFonts w:ascii="Arial" w:hAnsi="Arial" w:cs="Arial"/>
      <w:sz w:val="22"/>
      <w:szCs w:val="22"/>
    </w:rPr>
  </w:style>
  <w:style w:type="paragraph" w:styleId="NormalWeb">
    <w:name w:val="Normal (Web)"/>
    <w:basedOn w:val="Normal"/>
    <w:link w:val="NormalWebChar"/>
    <w:uiPriority w:val="99"/>
    <w:rsid w:val="00E84330"/>
    <w:pPr>
      <w:spacing w:before="100" w:beforeAutospacing="1" w:after="100" w:afterAutospacing="1"/>
    </w:pPr>
    <w:rPr>
      <w:sz w:val="24"/>
      <w:szCs w:val="24"/>
    </w:rPr>
  </w:style>
  <w:style w:type="character" w:customStyle="1" w:styleId="NormalWebChar">
    <w:name w:val="Normal (Web) Char"/>
    <w:link w:val="NormalWeb"/>
    <w:locked/>
    <w:rsid w:val="00E84330"/>
    <w:rPr>
      <w:rFonts w:eastAsia="Times New Roman" w:cs="Times New Roman"/>
      <w:sz w:val="24"/>
      <w:szCs w:val="24"/>
    </w:rPr>
  </w:style>
  <w:style w:type="paragraph" w:styleId="ListParagraph">
    <w:name w:val="List Paragraph"/>
    <w:basedOn w:val="Normal"/>
    <w:uiPriority w:val="34"/>
    <w:qFormat/>
    <w:rsid w:val="007D62F3"/>
    <w:pPr>
      <w:ind w:left="720"/>
      <w:contextualSpacing/>
    </w:pPr>
  </w:style>
  <w:style w:type="paragraph" w:styleId="Revision">
    <w:name w:val="Revision"/>
    <w:hidden/>
    <w:uiPriority w:val="99"/>
    <w:semiHidden/>
    <w:rsid w:val="00D2490A"/>
    <w:pPr>
      <w:spacing w:after="0" w:line="240" w:lineRule="auto"/>
    </w:pPr>
    <w:rPr>
      <w:rFonts w:eastAsia="Times New Roman" w:cs="Times New Roman"/>
      <w:szCs w:val="28"/>
    </w:rPr>
  </w:style>
  <w:style w:type="table" w:styleId="TableGrid">
    <w:name w:val="Table Grid"/>
    <w:basedOn w:val="TableNormal"/>
    <w:uiPriority w:val="59"/>
    <w:rsid w:val="004D5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61BF"/>
    <w:pPr>
      <w:tabs>
        <w:tab w:val="center" w:pos="4680"/>
        <w:tab w:val="right" w:pos="9360"/>
      </w:tabs>
    </w:pPr>
  </w:style>
  <w:style w:type="character" w:customStyle="1" w:styleId="HeaderChar">
    <w:name w:val="Header Char"/>
    <w:basedOn w:val="DefaultParagraphFont"/>
    <w:link w:val="Header"/>
    <w:uiPriority w:val="99"/>
    <w:rsid w:val="004D61BF"/>
    <w:rPr>
      <w:rFonts w:eastAsia="Times New Roman" w:cs="Times New Roman"/>
      <w:szCs w:val="28"/>
    </w:rPr>
  </w:style>
  <w:style w:type="paragraph" w:styleId="Footer">
    <w:name w:val="footer"/>
    <w:basedOn w:val="Normal"/>
    <w:link w:val="FooterChar"/>
    <w:uiPriority w:val="99"/>
    <w:unhideWhenUsed/>
    <w:rsid w:val="004D61BF"/>
    <w:pPr>
      <w:tabs>
        <w:tab w:val="center" w:pos="4680"/>
        <w:tab w:val="right" w:pos="9360"/>
      </w:tabs>
    </w:pPr>
  </w:style>
  <w:style w:type="character" w:customStyle="1" w:styleId="FooterChar">
    <w:name w:val="Footer Char"/>
    <w:basedOn w:val="DefaultParagraphFont"/>
    <w:link w:val="Footer"/>
    <w:uiPriority w:val="99"/>
    <w:rsid w:val="004D61BF"/>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628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6</Pages>
  <Words>2140</Words>
  <Characters>12199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45</cp:revision>
  <dcterms:created xsi:type="dcterms:W3CDTF">2024-03-28T07:55:00Z</dcterms:created>
  <dcterms:modified xsi:type="dcterms:W3CDTF">2024-05-10T09:14:00Z</dcterms:modified>
</cp:coreProperties>
</file>