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A008" w14:textId="5D8C0DCC" w:rsidR="00EA77D8" w:rsidRDefault="00EA77D8" w:rsidP="00EA77D8">
      <w:pPr>
        <w:ind w:firstLine="0"/>
        <w:jc w:val="center"/>
        <w:rPr>
          <w:b/>
        </w:rPr>
      </w:pPr>
      <w:r w:rsidRPr="00EA77D8">
        <w:rPr>
          <w:b/>
        </w:rPr>
        <w:t>THAM LUẬN</w:t>
      </w:r>
    </w:p>
    <w:p w14:paraId="15DB04F2" w14:textId="2A0BDE1C" w:rsidR="00EA77D8" w:rsidRDefault="00EA77D8" w:rsidP="00EA77D8">
      <w:pPr>
        <w:ind w:firstLine="0"/>
        <w:jc w:val="center"/>
        <w:rPr>
          <w:b/>
        </w:rPr>
      </w:pPr>
      <w:r w:rsidRPr="00EA77D8">
        <w:rPr>
          <w:b/>
        </w:rPr>
        <w:t>ỦY BAN MẶT TRẬN TỔ QUỐC VIỆT NAM TỈNH</w:t>
      </w:r>
    </w:p>
    <w:p w14:paraId="1812BD1A" w14:textId="77777777" w:rsidR="00EA77D8" w:rsidRPr="00EA77D8" w:rsidRDefault="00EA77D8" w:rsidP="00CF69EB">
      <w:pPr>
        <w:rPr>
          <w:b/>
        </w:rPr>
      </w:pPr>
    </w:p>
    <w:p w14:paraId="5667A2B4" w14:textId="0A3B0928" w:rsidR="001E07CF" w:rsidRPr="00364294" w:rsidRDefault="001E07CF" w:rsidP="0030517A">
      <w:pPr>
        <w:spacing w:before="0" w:after="0"/>
      </w:pPr>
      <w:r>
        <w:rPr>
          <w:bCs/>
        </w:rPr>
        <w:t xml:space="preserve">Sau khi nghiên cứu </w:t>
      </w:r>
      <w:r w:rsidR="0060398B" w:rsidRPr="0060398B">
        <w:rPr>
          <w:bCs/>
        </w:rPr>
        <w:t>dự thảo Nghị quyết của Quốc hội sửa đổi, bổ sung một số điều của Hiến pháp năm 2013</w:t>
      </w:r>
      <w:r w:rsidR="0060398B">
        <w:rPr>
          <w:bCs/>
        </w:rPr>
        <w:t xml:space="preserve">, Ban Thường trực MTTQ cơ bản nhất </w:t>
      </w:r>
      <w:r w:rsidR="00B308F9">
        <w:rPr>
          <w:bCs/>
        </w:rPr>
        <w:t>trí với bố cục và nội dung dự thảo Nghị quyế</w:t>
      </w:r>
      <w:r w:rsidR="00364294">
        <w:rPr>
          <w:bCs/>
        </w:rPr>
        <w:t xml:space="preserve">t; </w:t>
      </w:r>
      <w:r w:rsidR="00364294">
        <w:rPr>
          <w:rFonts w:eastAsia="Calibri"/>
        </w:rPr>
        <w:t>đồng thời có</w:t>
      </w:r>
      <w:r w:rsidR="00364294" w:rsidRPr="00345BD0">
        <w:rPr>
          <w:rFonts w:eastAsia="Calibri"/>
        </w:rPr>
        <w:t xml:space="preserve"> góp ý, bổ sung một số</w:t>
      </w:r>
      <w:r w:rsidR="00364294">
        <w:rPr>
          <w:rFonts w:eastAsia="Calibri"/>
          <w:lang w:val="vi-VN"/>
        </w:rPr>
        <w:t xml:space="preserve"> nội dung</w:t>
      </w:r>
      <w:r w:rsidR="00364294" w:rsidRPr="00345BD0">
        <w:rPr>
          <w:rFonts w:eastAsia="Calibri"/>
        </w:rPr>
        <w:t xml:space="preserve"> </w:t>
      </w:r>
      <w:r w:rsidR="00364294">
        <w:rPr>
          <w:rFonts w:eastAsia="Calibri"/>
        </w:rPr>
        <w:t>như</w:t>
      </w:r>
      <w:r w:rsidR="00364294">
        <w:rPr>
          <w:rFonts w:eastAsia="Calibri"/>
          <w:lang w:val="vi-VN"/>
        </w:rPr>
        <w:t xml:space="preserve"> </w:t>
      </w:r>
      <w:r w:rsidR="00364294" w:rsidRPr="00345BD0">
        <w:rPr>
          <w:rFonts w:eastAsia="Calibri"/>
        </w:rPr>
        <w:t>sau</w:t>
      </w:r>
      <w:r w:rsidR="00364294">
        <w:rPr>
          <w:lang w:val="vi-VN"/>
        </w:rPr>
        <w:t>:</w:t>
      </w:r>
    </w:p>
    <w:p w14:paraId="60D9B937" w14:textId="77777777" w:rsidR="002B069F" w:rsidRDefault="002B069F" w:rsidP="0030517A">
      <w:pPr>
        <w:spacing w:before="0" w:after="0"/>
        <w:rPr>
          <w:bCs/>
        </w:rPr>
      </w:pPr>
      <w:r>
        <w:rPr>
          <w:bCs/>
        </w:rPr>
        <w:t>- Tại điều 1 dự thảo Nghị quyết sửa đổi, bổ sung điều 9</w:t>
      </w:r>
      <w:bookmarkStart w:id="0" w:name="_Hlk197414086"/>
      <w:r>
        <w:rPr>
          <w:bCs/>
        </w:rPr>
        <w:t>:</w:t>
      </w:r>
    </w:p>
    <w:p w14:paraId="1BA36D6A" w14:textId="77777777" w:rsidR="002B069F" w:rsidRDefault="002B069F" w:rsidP="0030517A">
      <w:pPr>
        <w:spacing w:before="0" w:after="0"/>
        <w:rPr>
          <w:bCs/>
        </w:rPr>
      </w:pPr>
      <w:r>
        <w:rPr>
          <w:bCs/>
        </w:rPr>
        <w:t xml:space="preserve"> + Với việc sửa đổi bổ sung điều 9 theo hướng </w:t>
      </w:r>
      <w:r>
        <w:t xml:space="preserve">bao quát, toàn diện hơn về tôn chỉ, mục đích, vị trí, chức năng, nhiệm vụ, quyền hạn, trách nhiệm, nguyên tắc tổ chức và hoạt động cơ bản của MTTQ Việt Nam và các tổ chức thành viên của Mặt trận theo mô hình tổ chức mới sau khi sắp xếp, tinh gọn các tổ chức chính trị - xã hội vào MTTQ Việt Nam; tiếp tục </w:t>
      </w:r>
      <w:r>
        <w:rPr>
          <w:bCs/>
        </w:rPr>
        <w:t>khẳng định rõ vai trò, vị trí của Mặt trận Tổ quốc Việt Nam trong hệ thống chính trị của nước Cộng hòa xã hội chủ nghĩa Việt Nam, làm rõ hơn chức năng giám sát, phản biện xã hội, xây dựng Đảng, xây dựng chính quyền của Mặt trận Tổ quốc Việt Nam; đại diện, bảo vệ quyền và lợi ích hợp pháp, chính đáng của Nhân dân.</w:t>
      </w:r>
    </w:p>
    <w:p w14:paraId="67A94DB4" w14:textId="77777777" w:rsidR="002B069F" w:rsidRDefault="002B069F" w:rsidP="0030517A">
      <w:pPr>
        <w:tabs>
          <w:tab w:val="left" w:pos="3000"/>
        </w:tabs>
        <w:spacing w:before="0" w:after="0"/>
        <w:rPr>
          <w:bCs/>
          <w:spacing w:val="2"/>
          <w:lang w:val="fr-FR"/>
        </w:rPr>
      </w:pPr>
      <w:r>
        <w:rPr>
          <w:bCs/>
        </w:rPr>
        <w:t xml:space="preserve">+ Việc quy định khái quát về các tổ chức chính trị - xã hội theo hướng khẳng định vị trí của các tổ chức 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phù hợp với chủ trương tinh gọn, </w:t>
      </w:r>
      <w:r>
        <w:rPr>
          <w:bCs/>
          <w:spacing w:val="2"/>
          <w:lang w:val="fr-FR"/>
        </w:rPr>
        <w:t>sắp xếp lại các tổ chức chính trị - xã hội, hội quần chúng do Đảng, Nhà nước giao nhiệm vụ về trực thuộc Ủy ban Trung ương Mặt trận Tổ quốc Việt Nam.</w:t>
      </w:r>
    </w:p>
    <w:p w14:paraId="6516D631" w14:textId="77777777" w:rsidR="002B069F" w:rsidRDefault="002B069F" w:rsidP="0030517A">
      <w:pPr>
        <w:tabs>
          <w:tab w:val="left" w:pos="3000"/>
        </w:tabs>
        <w:spacing w:before="0" w:after="0"/>
        <w:rPr>
          <w:bCs/>
          <w:spacing w:val="2"/>
          <w:lang w:val="fr-FR"/>
        </w:rPr>
      </w:pPr>
      <w:r>
        <w:rPr>
          <w:bCs/>
          <w:lang w:val="fr-FR"/>
        </w:rPr>
        <w:t>- Tại điều 1 dự thảo Nghị quyết sửa đổi, bổ sung điều 9, ở khoản 2:</w:t>
      </w:r>
    </w:p>
    <w:p w14:paraId="382413E8" w14:textId="77777777" w:rsidR="002B069F" w:rsidRDefault="002B069F" w:rsidP="0030517A">
      <w:pPr>
        <w:tabs>
          <w:tab w:val="left" w:pos="3000"/>
        </w:tabs>
        <w:spacing w:before="0" w:after="0"/>
        <w:rPr>
          <w:bCs/>
          <w:spacing w:val="2"/>
          <w:lang w:val="fr-FR"/>
        </w:rPr>
      </w:pPr>
      <w:r>
        <w:rPr>
          <w:lang w:val="fr-FR"/>
        </w:rPr>
        <w:t xml:space="preserve">“Công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w:t>
      </w:r>
      <w:r>
        <w:rPr>
          <w:highlight w:val="yellow"/>
          <w:lang w:val="fr-FR"/>
        </w:rPr>
        <w:t>thành viên</w:t>
      </w:r>
      <w:r>
        <w:rPr>
          <w:lang w:val="fr-FR"/>
        </w:rPr>
        <w:t>, hội viên tổ chức mình</w:t>
      </w:r>
      <w:bookmarkEnd w:id="0"/>
      <w:r>
        <w:rPr>
          <w:lang w:val="fr-FR"/>
        </w:rPr>
        <w:t>;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B1C79A8" w14:textId="77777777" w:rsidR="002B069F" w:rsidRDefault="002B069F" w:rsidP="0030517A">
      <w:pPr>
        <w:spacing w:before="0" w:after="0"/>
      </w:pPr>
      <w:r>
        <w:t>Đề nghị nghiên cứu, xem xét thay thế cụm từ “</w:t>
      </w:r>
      <w:r>
        <w:rPr>
          <w:i/>
          <w:iCs/>
        </w:rPr>
        <w:t>thành viên</w:t>
      </w:r>
      <w:r>
        <w:t>” bằng cụm từ “</w:t>
      </w:r>
      <w:r>
        <w:rPr>
          <w:i/>
          <w:iCs/>
        </w:rPr>
        <w:t>đoàn viên</w:t>
      </w:r>
      <w:r>
        <w:t>”. Vì, các tổ chức chính trị- xã hội không có thành viên, chỉ có đoàn viên, hội viên.</w:t>
      </w:r>
    </w:p>
    <w:p w14:paraId="6E73FBB8" w14:textId="77777777" w:rsidR="002B069F" w:rsidRDefault="002B069F" w:rsidP="0030517A">
      <w:pPr>
        <w:spacing w:before="0" w:after="0"/>
        <w:rPr>
          <w:bCs/>
        </w:rPr>
      </w:pPr>
      <w:r>
        <w:t xml:space="preserve">- </w:t>
      </w:r>
      <w:r>
        <w:rPr>
          <w:bCs/>
        </w:rPr>
        <w:t>Tại điều 1 dự thảo Nghị quyết sửa đổi, bổ sung điều 9, ở khoản 3:</w:t>
      </w:r>
    </w:p>
    <w:p w14:paraId="728CABF0" w14:textId="77777777" w:rsidR="002B069F" w:rsidRDefault="002B069F" w:rsidP="0030517A">
      <w:pPr>
        <w:widowControl w:val="0"/>
        <w:spacing w:before="0" w:after="0"/>
        <w:ind w:firstLine="709"/>
      </w:pPr>
      <w:r>
        <w:t xml:space="preserve">“Mặt trận Tổ quốc Việt Nam, các tổ chức thành viên của Mặt trận và các tổ chức xã hội khác hoạt động trong khuôn khổ Hiến pháp và pháp luật, điều lệ của Mặt trận Tổ quốc Việt Nam, điều lệ của mỗi tổ chức. Nhà nước </w:t>
      </w:r>
      <w:r>
        <w:rPr>
          <w:highlight w:val="yellow"/>
        </w:rPr>
        <w:t>tạo điều kiện</w:t>
      </w:r>
      <w:r>
        <w:t xml:space="preserve"> để Mặt trận Tổ quốc Việt Nam, các tổ chức thành viên của Mặt trận và các tổ chức xã hội khác hoạt động”.</w:t>
      </w:r>
    </w:p>
    <w:p w14:paraId="19AD1E2F" w14:textId="77777777" w:rsidR="002B069F" w:rsidRDefault="002B069F" w:rsidP="0030517A">
      <w:pPr>
        <w:spacing w:before="0" w:after="0"/>
      </w:pPr>
      <w:r>
        <w:lastRenderedPageBreak/>
        <w:t>Đề nghị nghiên cứu, xem xét thay thế cụm từ “</w:t>
      </w:r>
      <w:r>
        <w:rPr>
          <w:i/>
          <w:iCs/>
        </w:rPr>
        <w:t>tạo điều kiện</w:t>
      </w:r>
      <w:r>
        <w:t>” bằng cụm từ “</w:t>
      </w:r>
      <w:r>
        <w:rPr>
          <w:i/>
          <w:iCs/>
        </w:rPr>
        <w:t>đảm bảo các điều kiện</w:t>
      </w:r>
      <w:r>
        <w:t>” để Mặt trận Tổ quốc Việt Nam được đảm bảo các điều kiện hoạt động và thực hiện chức năng, nhiệm vụ của mình theo quy định của Hiến pháp.</w:t>
      </w:r>
    </w:p>
    <w:p w14:paraId="216BBEA1" w14:textId="77777777" w:rsidR="003D1D70" w:rsidRDefault="003D1D70" w:rsidP="0030517A">
      <w:pPr>
        <w:spacing w:before="0" w:after="0"/>
        <w:rPr>
          <w:bCs/>
        </w:rPr>
      </w:pPr>
      <w:r>
        <w:rPr>
          <w:bCs/>
        </w:rPr>
        <w:t xml:space="preserve">- </w:t>
      </w:r>
      <w:r w:rsidRPr="003D1D70">
        <w:rPr>
          <w:bCs/>
        </w:rPr>
        <w:t xml:space="preserve">Tại </w:t>
      </w:r>
      <w:r w:rsidR="00757F30">
        <w:rPr>
          <w:bCs/>
        </w:rPr>
        <w:t>Điều 1</w:t>
      </w:r>
      <w:r w:rsidRPr="003D1D70">
        <w:rPr>
          <w:bCs/>
        </w:rPr>
        <w:t xml:space="preserve"> dự thảo Nghị quyết</w:t>
      </w:r>
      <w:r w:rsidR="00757F30">
        <w:rPr>
          <w:bCs/>
        </w:rPr>
        <w:t xml:space="preserve">, tại </w:t>
      </w:r>
      <w:r w:rsidR="00757F30" w:rsidRPr="00757F30">
        <w:rPr>
          <w:bCs/>
        </w:rPr>
        <w:t xml:space="preserve">khoản 2 Điều 115 </w:t>
      </w:r>
      <w:r w:rsidRPr="00434135">
        <w:rPr>
          <w:bCs/>
        </w:rPr>
        <w:t>không quy định</w:t>
      </w:r>
      <w:r w:rsidRPr="003D1D70">
        <w:rPr>
          <w:bCs/>
        </w:rPr>
        <w:t xml:space="preserve"> thẩm quyền chất vấn của đại biểu Hội đồng nhân dân đối với Chánh án Toà án nhân dân, Viện trưởng Viện kiểm sát nhân dân</w:t>
      </w:r>
      <w:r w:rsidR="00495AF8">
        <w:rPr>
          <w:bCs/>
        </w:rPr>
        <w:t>.</w:t>
      </w:r>
    </w:p>
    <w:p w14:paraId="3D7CD9E4" w14:textId="77777777" w:rsidR="00495AF8" w:rsidRDefault="00495AF8" w:rsidP="0030517A">
      <w:pPr>
        <w:spacing w:before="0" w:after="0"/>
      </w:pPr>
      <w:r>
        <w:t>Đ</w:t>
      </w:r>
      <w:r w:rsidRPr="00495AF8">
        <w:t>ề nghị cần</w:t>
      </w:r>
      <w:r>
        <w:t xml:space="preserve"> xem xét,</w:t>
      </w:r>
      <w:r w:rsidRPr="00495AF8">
        <w:t xml:space="preserve"> cân nhắc </w:t>
      </w:r>
      <w:r>
        <w:t>lại</w:t>
      </w:r>
      <w:r w:rsidRPr="00495AF8">
        <w:t xml:space="preserve"> việc bỏ thẩm quyền chất vấn của đại biểu Hội đồng nhân dân đối với Chánh án Toà án nhân dân, Viện trưởng Viện kiểm sát nhân dân</w:t>
      </w:r>
      <w:r>
        <w:t xml:space="preserve">. Vì </w:t>
      </w:r>
      <w:r w:rsidR="00A31CC7" w:rsidRPr="00A31CC7">
        <w:t>chất vấn</w:t>
      </w:r>
      <w:r w:rsidR="00D2414D" w:rsidRPr="00D2414D">
        <w:t xml:space="preserve"> </w:t>
      </w:r>
      <w:r w:rsidR="00D2414D" w:rsidRPr="00495AF8">
        <w:t>của đại biểu Hội đồng nhân dân</w:t>
      </w:r>
      <w:r w:rsidR="00A31CC7" w:rsidRPr="00A31CC7">
        <w:t xml:space="preserve"> là một công cụ giám sát quan trọng</w:t>
      </w:r>
      <w:r w:rsidR="00A31CC7">
        <w:t xml:space="preserve"> </w:t>
      </w:r>
      <w:r w:rsidR="00A31CC7" w:rsidRPr="00A31CC7">
        <w:t>nhằm bảo đảm các cơ quan nhà nước chịu trách nhiệm giải trình trước đại biểu dân cử</w:t>
      </w:r>
      <w:r w:rsidR="00A31CC7">
        <w:t xml:space="preserve"> và Nhân dân</w:t>
      </w:r>
      <w:r w:rsidR="00D2414D">
        <w:t xml:space="preserve">. </w:t>
      </w:r>
      <w:r w:rsidR="00D2414D" w:rsidRPr="00D2414D">
        <w:t>Việc duy trì quyền chất vấn là cần thiết để bảo đảm tính công khai, minh bạch và trách nhiệm trong hoạt động tư pháp</w:t>
      </w:r>
      <w:r w:rsidR="00D2414D">
        <w:t>.</w:t>
      </w:r>
    </w:p>
    <w:p w14:paraId="79BFCA87" w14:textId="77777777" w:rsidR="00616FD7" w:rsidRPr="00616FD7" w:rsidRDefault="004129E8" w:rsidP="0030517A">
      <w:pPr>
        <w:spacing w:before="0" w:after="0"/>
        <w:rPr>
          <w:bCs/>
        </w:rPr>
      </w:pPr>
      <w:r>
        <w:t xml:space="preserve">- </w:t>
      </w:r>
      <w:r w:rsidR="00757F30">
        <w:rPr>
          <w:bCs/>
        </w:rPr>
        <w:t xml:space="preserve">Tại </w:t>
      </w:r>
      <w:r w:rsidR="00616FD7">
        <w:rPr>
          <w:bCs/>
        </w:rPr>
        <w:t>Điều 1</w:t>
      </w:r>
      <w:r w:rsidR="00757F30">
        <w:rPr>
          <w:bCs/>
        </w:rPr>
        <w:t xml:space="preserve"> dự thảo Nghị quyết sửa đổi</w:t>
      </w:r>
      <w:r w:rsidR="00616FD7">
        <w:rPr>
          <w:bCs/>
        </w:rPr>
        <w:t xml:space="preserve">, </w:t>
      </w:r>
      <w:r w:rsidR="009F3087">
        <w:rPr>
          <w:bCs/>
        </w:rPr>
        <w:t>s</w:t>
      </w:r>
      <w:r w:rsidR="00616FD7" w:rsidRPr="00616FD7">
        <w:rPr>
          <w:bCs/>
        </w:rPr>
        <w:t>ửa đổi, bổ sung khoản 1 Điề</w:t>
      </w:r>
      <w:r w:rsidR="00944006">
        <w:rPr>
          <w:bCs/>
        </w:rPr>
        <w:t>u 84</w:t>
      </w:r>
      <w:r w:rsidR="00616FD7" w:rsidRPr="00616FD7">
        <w:rPr>
          <w:bCs/>
        </w:rPr>
        <w:t>:</w:t>
      </w:r>
    </w:p>
    <w:p w14:paraId="4DC9A0EB" w14:textId="77777777" w:rsidR="004129E8" w:rsidRDefault="00616FD7" w:rsidP="0030517A">
      <w:pPr>
        <w:spacing w:before="0" w:after="0"/>
        <w:rPr>
          <w:bCs/>
        </w:rPr>
      </w:pPr>
      <w:r w:rsidRPr="00616FD7">
        <w:rPr>
          <w:bCs/>
        </w:rPr>
        <w:t xml:space="preserve">“1. Chủ tịch nước, </w:t>
      </w:r>
      <w:r w:rsidRPr="009F3087">
        <w:rPr>
          <w:bCs/>
          <w:highlight w:val="yellow"/>
        </w:rPr>
        <w:t>Ủy ban Thường vụ Quốc hội</w:t>
      </w:r>
      <w:r w:rsidRPr="00616FD7">
        <w:rPr>
          <w:bCs/>
        </w:rPr>
        <w:t>, Hội đồng dân tộc, Ủ</w:t>
      </w:r>
      <w:r>
        <w:rPr>
          <w:bCs/>
        </w:rPr>
        <w:t xml:space="preserve">y </w:t>
      </w:r>
      <w:r w:rsidRPr="00616FD7">
        <w:rPr>
          <w:bCs/>
        </w:rPr>
        <w:t>ban của Quốc hội, Chính phủ, Tòa án nhân dân tối cao, Viện kiể</w:t>
      </w:r>
      <w:r>
        <w:rPr>
          <w:bCs/>
        </w:rPr>
        <w:t xml:space="preserve">m sát nhân dân </w:t>
      </w:r>
      <w:r w:rsidRPr="00616FD7">
        <w:rPr>
          <w:bCs/>
        </w:rPr>
        <w:t>tối cao, Kiểm toán nhà nước, Ủy ban trung ương Mặt trận Tổ quốc Việ</w:t>
      </w:r>
      <w:r>
        <w:rPr>
          <w:bCs/>
        </w:rPr>
        <w:t xml:space="preserve">t Nam có </w:t>
      </w:r>
      <w:r w:rsidRPr="00616FD7">
        <w:rPr>
          <w:bCs/>
        </w:rPr>
        <w:t>quyền trình dự án luật trước Quốc hội, trình dự án pháp lệnh trước Ủ</w:t>
      </w:r>
      <w:r>
        <w:rPr>
          <w:bCs/>
        </w:rPr>
        <w:t xml:space="preserve">y ban </w:t>
      </w:r>
      <w:r w:rsidRPr="00616FD7">
        <w:rPr>
          <w:bCs/>
        </w:rPr>
        <w:t>Thường vụ Quốc hộ</w:t>
      </w:r>
      <w:r w:rsidR="009F3087">
        <w:rPr>
          <w:bCs/>
        </w:rPr>
        <w:t>i.”</w:t>
      </w:r>
    </w:p>
    <w:p w14:paraId="4B2F2539" w14:textId="77777777" w:rsidR="00605EC0" w:rsidRDefault="00605EC0" w:rsidP="0030517A">
      <w:pPr>
        <w:spacing w:before="0" w:after="0"/>
        <w:rPr>
          <w:bCs/>
        </w:rPr>
      </w:pPr>
      <w:r>
        <w:t>Đ</w:t>
      </w:r>
      <w:r w:rsidRPr="00495AF8">
        <w:t>ề nghị cần</w:t>
      </w:r>
      <w:r>
        <w:t xml:space="preserve"> xem xét,</w:t>
      </w:r>
      <w:r w:rsidRPr="00495AF8">
        <w:t xml:space="preserve"> cân nhắc </w:t>
      </w:r>
      <w:r>
        <w:t>bỏ “</w:t>
      </w:r>
      <w:r w:rsidRPr="009F3087">
        <w:rPr>
          <w:bCs/>
          <w:highlight w:val="yellow"/>
        </w:rPr>
        <w:t>Ủy ban Thường vụ Quốc hội</w:t>
      </w:r>
      <w:r>
        <w:rPr>
          <w:bCs/>
        </w:rPr>
        <w:t xml:space="preserve">” khỏi chủ thể có quyền </w:t>
      </w:r>
      <w:r w:rsidRPr="00616FD7">
        <w:rPr>
          <w:bCs/>
        </w:rPr>
        <w:t>trình dự án pháp lệnh trước Ủ</w:t>
      </w:r>
      <w:r>
        <w:rPr>
          <w:bCs/>
        </w:rPr>
        <w:t xml:space="preserve">y ban </w:t>
      </w:r>
      <w:r w:rsidRPr="00616FD7">
        <w:rPr>
          <w:bCs/>
        </w:rPr>
        <w:t>Thường vụ Quốc hộ</w:t>
      </w:r>
      <w:r>
        <w:rPr>
          <w:bCs/>
        </w:rPr>
        <w:t>i.</w:t>
      </w:r>
      <w:r w:rsidR="003A113C">
        <w:rPr>
          <w:bCs/>
        </w:rPr>
        <w:t xml:space="preserve"> Vì như vậy sẽ có sự trùng lặp</w:t>
      </w:r>
      <w:r w:rsidR="001E07CF">
        <w:rPr>
          <w:bCs/>
        </w:rPr>
        <w:t xml:space="preserve"> về chủ thể trình dự án pháp lệnh và chủ thể được trình, xem xét, quyết định.</w:t>
      </w:r>
    </w:p>
    <w:p w14:paraId="6AB3CAFB" w14:textId="77777777" w:rsidR="001E07CF" w:rsidRDefault="001E07CF" w:rsidP="0030517A">
      <w:pPr>
        <w:spacing w:before="0" w:after="0"/>
        <w:rPr>
          <w:bCs/>
        </w:rPr>
      </w:pPr>
      <w:r>
        <w:t xml:space="preserve">- </w:t>
      </w:r>
      <w:r>
        <w:rPr>
          <w:bCs/>
        </w:rPr>
        <w:t>Tại điều 2 dự thảo Nghị quyết sửa đổi, tại mục 3 có quy định: “</w:t>
      </w:r>
      <w:r w:rsidRPr="00E27DAE">
        <w:rPr>
          <w:bCs/>
          <w:highlight w:val="yellow"/>
        </w:rPr>
        <w:t>Trường hợp đặc biệt</w:t>
      </w:r>
      <w:r w:rsidRPr="00013B9B">
        <w:rPr>
          <w:bCs/>
        </w:rPr>
        <w:t>, cho phép chỉ định nhân sự không phải là đạ</w:t>
      </w:r>
      <w:r>
        <w:rPr>
          <w:bCs/>
        </w:rPr>
        <w:t xml:space="preserve">i </w:t>
      </w:r>
      <w:r w:rsidRPr="00013B9B">
        <w:rPr>
          <w:bCs/>
        </w:rPr>
        <w:t>biểu Hội đồng nhân dân giữ các chức danh lãnh đạo Hội đồng nhân dân cấp tỉ</w:t>
      </w:r>
      <w:r>
        <w:rPr>
          <w:bCs/>
        </w:rPr>
        <w:t xml:space="preserve">nh, </w:t>
      </w:r>
      <w:r w:rsidRPr="00013B9B">
        <w:rPr>
          <w:bCs/>
        </w:rPr>
        <w:t>cấp xã hình thành sau sắp xếp</w:t>
      </w:r>
      <w:r>
        <w:rPr>
          <w:bCs/>
        </w:rPr>
        <w:t>”</w:t>
      </w:r>
      <w:r w:rsidRPr="00013B9B">
        <w:rPr>
          <w:bCs/>
        </w:rPr>
        <w:t>.</w:t>
      </w:r>
    </w:p>
    <w:p w14:paraId="0E7EDFC5" w14:textId="77777777" w:rsidR="001E07CF" w:rsidRPr="009465B3" w:rsidRDefault="001E07CF" w:rsidP="0030517A">
      <w:pPr>
        <w:spacing w:before="0" w:after="0"/>
        <w:rPr>
          <w:bCs/>
        </w:rPr>
      </w:pPr>
      <w:r w:rsidRPr="009465B3">
        <w:rPr>
          <w:bCs/>
        </w:rPr>
        <w:t xml:space="preserve">Đề nghị xem xét bỏ từ </w:t>
      </w:r>
      <w:r w:rsidRPr="009465B3">
        <w:rPr>
          <w:bCs/>
          <w:i/>
        </w:rPr>
        <w:t>“Trường hợp đặc biệt”</w:t>
      </w:r>
      <w:r w:rsidRPr="009465B3">
        <w:rPr>
          <w:bCs/>
        </w:rPr>
        <w:t xml:space="preserve"> đối với các xã, phường sau sáp nhập và có thể dùng từ </w:t>
      </w:r>
      <w:r w:rsidRPr="009465B3">
        <w:rPr>
          <w:bCs/>
          <w:i/>
        </w:rPr>
        <w:t>“cho phép”, “được phép"</w:t>
      </w:r>
      <w:r w:rsidRPr="009465B3">
        <w:rPr>
          <w:bCs/>
        </w:rPr>
        <w:t xml:space="preserve"> hoặc </w:t>
      </w:r>
      <w:r w:rsidRPr="009465B3">
        <w:rPr>
          <w:bCs/>
          <w:i/>
        </w:rPr>
        <w:t>“có quyền chỉ định các chức danh lãnh đạo HĐND cấp xã hình thành sau sáp nhập mà nhân sự không phải là đại biểu HĐND"</w:t>
      </w:r>
      <w:r w:rsidRPr="009465B3">
        <w:rPr>
          <w:bCs/>
        </w:rPr>
        <w:t>. Vì trong tình hình thực tế hiện nay, công tác sắp xếp, sáp nhập các đơn vị hành chính cấp xã sẽ có sự điều động, luân chuyển cán bộ cấp tỉnh giữ các chức danh lãnh đạo, quản lý</w:t>
      </w:r>
      <w:r w:rsidR="00A31469" w:rsidRPr="009465B3">
        <w:rPr>
          <w:bCs/>
        </w:rPr>
        <w:t xml:space="preserve"> ở</w:t>
      </w:r>
      <w:r w:rsidRPr="009465B3">
        <w:rPr>
          <w:bCs/>
        </w:rPr>
        <w:t xml:space="preserve"> cấp xã. Do vậy, trong thời gian tới, việc bố trí cán bộ chủ chốt của Đảng giữ chức danh Chủ tịch HĐND không là đại biểu HĐND của những đơn vị cấp xã sáp nhập sẽ là phổ biến.</w:t>
      </w:r>
    </w:p>
    <w:p w14:paraId="345B4137" w14:textId="77777777" w:rsidR="009F3087" w:rsidRPr="009B2A56" w:rsidRDefault="009465B3" w:rsidP="0030517A">
      <w:pPr>
        <w:spacing w:before="0" w:after="0"/>
        <w:rPr>
          <w:rFonts w:eastAsia="Calibri"/>
        </w:rPr>
      </w:pPr>
      <w:r w:rsidRPr="009542A5">
        <w:rPr>
          <w:rFonts w:eastAsia="Calibri"/>
          <w:lang w:val="vi-VN"/>
        </w:rPr>
        <w:t xml:space="preserve">Trên đây là </w:t>
      </w:r>
      <w:r>
        <w:rPr>
          <w:rFonts w:eastAsia="Calibri"/>
        </w:rPr>
        <w:t>những ý kiến góp ý</w:t>
      </w:r>
      <w:r w:rsidR="008705BF" w:rsidRPr="008705BF">
        <w:rPr>
          <w:bCs/>
        </w:rPr>
        <w:t xml:space="preserve"> </w:t>
      </w:r>
      <w:r w:rsidR="008705BF" w:rsidRPr="0060398B">
        <w:rPr>
          <w:bCs/>
        </w:rPr>
        <w:t>dự thảo Nghị quyế</w:t>
      </w:r>
      <w:r w:rsidR="00CF69EB">
        <w:rPr>
          <w:bCs/>
        </w:rPr>
        <w:t>t</w:t>
      </w:r>
      <w:r w:rsidR="008705BF" w:rsidRPr="0060398B">
        <w:rPr>
          <w:bCs/>
        </w:rPr>
        <w:t xml:space="preserve"> sửa đổi, bổ sung một số điều của Hiến pháp năm 2013</w:t>
      </w:r>
      <w:r w:rsidRPr="009542A5">
        <w:rPr>
          <w:rFonts w:eastAsia="Calibri"/>
          <w:bCs/>
          <w:lang w:val="vi-VN"/>
        </w:rPr>
        <w:t xml:space="preserve"> </w:t>
      </w:r>
      <w:r w:rsidRPr="009542A5">
        <w:rPr>
          <w:rFonts w:eastAsia="Calibri"/>
          <w:lang w:val="vi-VN"/>
        </w:rPr>
        <w:t xml:space="preserve">của </w:t>
      </w:r>
      <w:r>
        <w:rPr>
          <w:rFonts w:eastAsia="Calibri"/>
        </w:rPr>
        <w:t>Ban Thường trực Ủy ban MTTQ</w:t>
      </w:r>
      <w:r w:rsidRPr="009542A5">
        <w:rPr>
          <w:rFonts w:eastAsia="Calibri"/>
          <w:lang w:val="vi-VN"/>
        </w:rPr>
        <w:t xml:space="preserve"> tỉnh</w:t>
      </w:r>
      <w:r w:rsidRPr="009542A5">
        <w:rPr>
          <w:rFonts w:eastAsia="Calibri"/>
        </w:rPr>
        <w:t xml:space="preserve"> </w:t>
      </w:r>
      <w:r>
        <w:rPr>
          <w:rFonts w:eastAsia="Calibri"/>
        </w:rPr>
        <w:t>Hà Tĩnh</w:t>
      </w:r>
      <w:r w:rsidR="009B2A56">
        <w:rPr>
          <w:rFonts w:eastAsia="Calibri"/>
          <w:lang w:val="vi-VN"/>
        </w:rPr>
        <w:t>./</w:t>
      </w:r>
      <w:r w:rsidR="009B2A56">
        <w:rPr>
          <w:rFonts w:eastAsia="Calibri"/>
        </w:rPr>
        <w:t>.</w:t>
      </w:r>
    </w:p>
    <w:p w14:paraId="2BE19ABF" w14:textId="77777777" w:rsidR="00000000" w:rsidRDefault="00000000" w:rsidP="00CF69EB"/>
    <w:sectPr w:rsidR="00D30D66" w:rsidSect="0030517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B069F"/>
    <w:rsid w:val="00013B9B"/>
    <w:rsid w:val="000D1948"/>
    <w:rsid w:val="001827C9"/>
    <w:rsid w:val="001E07CF"/>
    <w:rsid w:val="00290911"/>
    <w:rsid w:val="002B069F"/>
    <w:rsid w:val="0030517A"/>
    <w:rsid w:val="00355DF2"/>
    <w:rsid w:val="00364294"/>
    <w:rsid w:val="003A07ED"/>
    <w:rsid w:val="003A113C"/>
    <w:rsid w:val="003D1D70"/>
    <w:rsid w:val="00403249"/>
    <w:rsid w:val="004129E8"/>
    <w:rsid w:val="00434135"/>
    <w:rsid w:val="00495AF8"/>
    <w:rsid w:val="00571D1A"/>
    <w:rsid w:val="005D2F43"/>
    <w:rsid w:val="0060398B"/>
    <w:rsid w:val="00605EC0"/>
    <w:rsid w:val="00616FD7"/>
    <w:rsid w:val="00621E91"/>
    <w:rsid w:val="0068053D"/>
    <w:rsid w:val="00757F30"/>
    <w:rsid w:val="008070B6"/>
    <w:rsid w:val="008705BF"/>
    <w:rsid w:val="008D46F3"/>
    <w:rsid w:val="00927FFD"/>
    <w:rsid w:val="00935D54"/>
    <w:rsid w:val="00944006"/>
    <w:rsid w:val="009465B3"/>
    <w:rsid w:val="009B21B8"/>
    <w:rsid w:val="009B2A56"/>
    <w:rsid w:val="009C3553"/>
    <w:rsid w:val="009F3087"/>
    <w:rsid w:val="00A24AFE"/>
    <w:rsid w:val="00A31469"/>
    <w:rsid w:val="00A31CC7"/>
    <w:rsid w:val="00A82136"/>
    <w:rsid w:val="00AB7418"/>
    <w:rsid w:val="00AD3632"/>
    <w:rsid w:val="00B308F9"/>
    <w:rsid w:val="00B53269"/>
    <w:rsid w:val="00C05E08"/>
    <w:rsid w:val="00C5793B"/>
    <w:rsid w:val="00CA133E"/>
    <w:rsid w:val="00CF69EB"/>
    <w:rsid w:val="00D2414D"/>
    <w:rsid w:val="00E27DAE"/>
    <w:rsid w:val="00E361A2"/>
    <w:rsid w:val="00EA77D8"/>
    <w:rsid w:val="00F5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CD23"/>
  <w15:docId w15:val="{370ABAEF-589A-470F-8088-B960316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9F"/>
    <w:pPr>
      <w:spacing w:before="120" w:after="120" w:line="240" w:lineRule="auto"/>
      <w:ind w:firstLine="720"/>
      <w:jc w:val="both"/>
    </w:pPr>
    <w:rPr>
      <w:rFonts w:cs="Times New Roman"/>
      <w:kern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2863</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Administrator</cp:lastModifiedBy>
  <cp:revision>17</cp:revision>
  <dcterms:created xsi:type="dcterms:W3CDTF">2025-05-13T02:36:00Z</dcterms:created>
  <dcterms:modified xsi:type="dcterms:W3CDTF">2025-05-18T03:10:00Z</dcterms:modified>
</cp:coreProperties>
</file>