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1" w:type="dxa"/>
        <w:tblInd w:w="-72" w:type="dxa"/>
        <w:tblLook w:val="01E0" w:firstRow="1" w:lastRow="1" w:firstColumn="1" w:lastColumn="1" w:noHBand="0" w:noVBand="0"/>
      </w:tblPr>
      <w:tblGrid>
        <w:gridCol w:w="4041"/>
        <w:gridCol w:w="5670"/>
      </w:tblGrid>
      <w:tr w:rsidR="0009546A" w:rsidRPr="00713E94" w14:paraId="1FE61ADB" w14:textId="77777777" w:rsidTr="00CB6F64">
        <w:trPr>
          <w:trHeight w:val="2232"/>
        </w:trPr>
        <w:tc>
          <w:tcPr>
            <w:tcW w:w="4041" w:type="dxa"/>
          </w:tcPr>
          <w:p w14:paraId="02F028FA" w14:textId="77777777" w:rsidR="0009546A" w:rsidRPr="00713E94" w:rsidRDefault="0009546A" w:rsidP="00CB6F64">
            <w:pPr>
              <w:tabs>
                <w:tab w:val="left" w:pos="720"/>
                <w:tab w:val="center" w:pos="4320"/>
                <w:tab w:val="right" w:pos="8640"/>
              </w:tabs>
              <w:spacing w:before="60" w:after="60" w:line="254" w:lineRule="auto"/>
              <w:jc w:val="center"/>
              <w:rPr>
                <w:rFonts w:eastAsia="Times New Roman" w:cs="Times New Roman"/>
                <w:sz w:val="26"/>
                <w:szCs w:val="26"/>
              </w:rPr>
            </w:pPr>
            <w:r>
              <w:rPr>
                <w:rFonts w:eastAsia="Times New Roman" w:cs="Times New Roman"/>
                <w:sz w:val="26"/>
                <w:szCs w:val="26"/>
              </w:rPr>
              <w:t>UBND TỈNH HÀ TĨNH</w:t>
            </w:r>
          </w:p>
          <w:p w14:paraId="5260A8DB" w14:textId="77777777" w:rsidR="0009546A" w:rsidRPr="00713E94" w:rsidRDefault="0009546A" w:rsidP="00CB6F64">
            <w:pPr>
              <w:tabs>
                <w:tab w:val="left" w:pos="720"/>
                <w:tab w:val="center" w:pos="4320"/>
                <w:tab w:val="right" w:pos="8640"/>
              </w:tabs>
              <w:spacing w:before="60" w:after="60" w:line="254" w:lineRule="auto"/>
              <w:jc w:val="center"/>
              <w:rPr>
                <w:rFonts w:eastAsia="Times New Roman" w:cs="Times New Roman"/>
                <w:b/>
              </w:rPr>
            </w:pPr>
            <w:r w:rsidRPr="00713E94">
              <w:rPr>
                <w:rFonts w:eastAsia="Times New Roman" w:cs="Times New Roman"/>
                <w:b/>
              </w:rPr>
              <w:t>HỘI LUẬT GIA HÀ TĨNH</w:t>
            </w:r>
          </w:p>
          <w:p w14:paraId="613AAF94" w14:textId="77777777" w:rsidR="0009546A" w:rsidRPr="00713E94" w:rsidRDefault="0009546A" w:rsidP="00CB6F64">
            <w:pPr>
              <w:tabs>
                <w:tab w:val="left" w:pos="720"/>
                <w:tab w:val="center" w:pos="4320"/>
                <w:tab w:val="right" w:pos="8640"/>
              </w:tabs>
              <w:spacing w:before="60" w:after="60" w:line="254" w:lineRule="auto"/>
              <w:rPr>
                <w:rFonts w:eastAsia="Times New Roman" w:cs="Times New Roman"/>
                <w:b/>
                <w:sz w:val="27"/>
                <w:szCs w:val="27"/>
              </w:rPr>
            </w:pPr>
            <w:r w:rsidRPr="00713E94">
              <w:rPr>
                <w:rFonts w:eastAsia="Times New Roman" w:cs="Times New Roman"/>
                <w:noProof/>
                <w:szCs w:val="24"/>
              </w:rPr>
              <mc:AlternateContent>
                <mc:Choice Requires="wps">
                  <w:drawing>
                    <wp:anchor distT="0" distB="0" distL="114300" distR="114300" simplePos="0" relativeHeight="251659264" behindDoc="0" locked="0" layoutInCell="1" allowOverlap="1" wp14:anchorId="123B30E1" wp14:editId="03CEEAA7">
                      <wp:simplePos x="0" y="0"/>
                      <wp:positionH relativeFrom="column">
                        <wp:posOffset>623570</wp:posOffset>
                      </wp:positionH>
                      <wp:positionV relativeFrom="paragraph">
                        <wp:posOffset>2540</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F8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pt" to="15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"/>
                  </w:pict>
                </mc:Fallback>
              </mc:AlternateContent>
            </w:r>
          </w:p>
          <w:p w14:paraId="236E9F54" w14:textId="77777777" w:rsidR="0009546A" w:rsidRPr="00713E94" w:rsidRDefault="0009546A" w:rsidP="00CB6F64">
            <w:pPr>
              <w:spacing w:before="60" w:after="60" w:line="254" w:lineRule="auto"/>
              <w:rPr>
                <w:rFonts w:eastAsia="Times New Roman" w:cs="Times New Roman"/>
              </w:rPr>
            </w:pPr>
            <w:r w:rsidRPr="00713E94">
              <w:rPr>
                <w:rFonts w:eastAsia="Times New Roman" w:cs="Times New Roman"/>
                <w:sz w:val="27"/>
                <w:szCs w:val="27"/>
              </w:rPr>
              <w:t xml:space="preserve">             Số</w:t>
            </w:r>
            <w:r w:rsidRPr="00713E94">
              <w:rPr>
                <w:rFonts w:eastAsia="Times New Roman" w:cs="Times New Roman"/>
              </w:rPr>
              <w:t xml:space="preserve">:  </w:t>
            </w:r>
            <w:r>
              <w:rPr>
                <w:rFonts w:eastAsia="Times New Roman" w:cs="Times New Roman"/>
              </w:rPr>
              <w:t xml:space="preserve">    </w:t>
            </w:r>
            <w:r w:rsidRPr="00713E94">
              <w:rPr>
                <w:rFonts w:eastAsia="Times New Roman" w:cs="Times New Roman"/>
                <w:sz w:val="28"/>
                <w:szCs w:val="28"/>
              </w:rPr>
              <w:t>/CV-HLG</w:t>
            </w:r>
            <w:r w:rsidRPr="00713E94">
              <w:rPr>
                <w:rFonts w:eastAsia="Times New Roman" w:cs="Times New Roman"/>
              </w:rPr>
              <w:t xml:space="preserve">                                           </w:t>
            </w:r>
          </w:p>
          <w:p w14:paraId="65E315D5" w14:textId="77777777" w:rsidR="0009546A" w:rsidRPr="00713E94" w:rsidRDefault="0009546A" w:rsidP="00CB6F64">
            <w:pPr>
              <w:tabs>
                <w:tab w:val="left" w:pos="720"/>
                <w:tab w:val="center" w:pos="4320"/>
                <w:tab w:val="right" w:pos="8640"/>
              </w:tabs>
              <w:spacing w:before="60" w:after="60" w:line="254" w:lineRule="auto"/>
              <w:jc w:val="center"/>
              <w:rPr>
                <w:rFonts w:eastAsia="Times New Roman" w:cs="Times New Roman"/>
                <w:szCs w:val="24"/>
              </w:rPr>
            </w:pPr>
            <w:r w:rsidRPr="00713E94">
              <w:rPr>
                <w:rFonts w:eastAsia="Times New Roman" w:cs="Times New Roman"/>
                <w:szCs w:val="24"/>
              </w:rPr>
              <w:t xml:space="preserve">V/v góp ý Dự thảo </w:t>
            </w:r>
            <w:r>
              <w:rPr>
                <w:rFonts w:eastAsia="Times New Roman" w:cs="Times New Roman"/>
                <w:szCs w:val="24"/>
              </w:rPr>
              <w:t>Nghị quyết sửa đổi, bổ sung một số điều của Hiến pháp năm 2013</w:t>
            </w:r>
          </w:p>
        </w:tc>
        <w:tc>
          <w:tcPr>
            <w:tcW w:w="5670" w:type="dxa"/>
          </w:tcPr>
          <w:p w14:paraId="53C96EAF" w14:textId="77777777" w:rsidR="0009546A" w:rsidRPr="00713E94" w:rsidRDefault="0009546A" w:rsidP="00CB6F64">
            <w:pPr>
              <w:tabs>
                <w:tab w:val="left" w:pos="720"/>
                <w:tab w:val="center" w:pos="4320"/>
                <w:tab w:val="right" w:pos="8640"/>
              </w:tabs>
              <w:spacing w:before="60" w:after="60" w:line="254" w:lineRule="auto"/>
              <w:rPr>
                <w:rFonts w:eastAsia="Times New Roman" w:cs="Times New Roman"/>
                <w:b/>
                <w:sz w:val="26"/>
                <w:szCs w:val="26"/>
              </w:rPr>
            </w:pPr>
            <w:r w:rsidRPr="00713E94">
              <w:rPr>
                <w:rFonts w:eastAsia="Times New Roman" w:cs="Times New Roman"/>
                <w:b/>
                <w:sz w:val="26"/>
                <w:szCs w:val="26"/>
              </w:rPr>
              <w:t>CỘNG HOÀ XÃ HỘI CHỦ NGHĨA VIỆT NAM</w:t>
            </w:r>
          </w:p>
          <w:p w14:paraId="71A81566" w14:textId="77777777" w:rsidR="0009546A" w:rsidRPr="00713E94" w:rsidRDefault="0009546A" w:rsidP="00CB6F64">
            <w:pPr>
              <w:tabs>
                <w:tab w:val="left" w:pos="720"/>
                <w:tab w:val="center" w:pos="4320"/>
                <w:tab w:val="right" w:pos="8640"/>
              </w:tabs>
              <w:spacing w:before="60" w:after="60" w:line="254" w:lineRule="auto"/>
              <w:jc w:val="center"/>
              <w:rPr>
                <w:rFonts w:eastAsia="Times New Roman" w:cs="Times New Roman"/>
                <w:b/>
                <w:sz w:val="28"/>
                <w:szCs w:val="28"/>
              </w:rPr>
            </w:pPr>
            <w:r w:rsidRPr="00713E94">
              <w:rPr>
                <w:rFonts w:eastAsia="Times New Roman" w:cs="Times New Roman"/>
                <w:b/>
                <w:sz w:val="28"/>
                <w:szCs w:val="28"/>
              </w:rPr>
              <w:t>Độc lập – Tự do – Hạnh phúc</w:t>
            </w:r>
          </w:p>
          <w:p w14:paraId="5849E47D" w14:textId="77777777" w:rsidR="0009546A" w:rsidRPr="00713E94" w:rsidRDefault="0009546A" w:rsidP="00CB6F64">
            <w:pPr>
              <w:tabs>
                <w:tab w:val="left" w:pos="720"/>
                <w:tab w:val="center" w:pos="4320"/>
                <w:tab w:val="right" w:pos="8640"/>
              </w:tabs>
              <w:spacing w:before="60" w:after="60" w:line="254" w:lineRule="auto"/>
              <w:jc w:val="center"/>
              <w:rPr>
                <w:rFonts w:eastAsia="Times New Roman" w:cs="Times New Roman"/>
                <w:sz w:val="28"/>
                <w:szCs w:val="28"/>
              </w:rPr>
            </w:pPr>
            <w:r w:rsidRPr="00713E94">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340CC403" wp14:editId="68C87B88">
                      <wp:simplePos x="0" y="0"/>
                      <wp:positionH relativeFrom="column">
                        <wp:posOffset>662305</wp:posOffset>
                      </wp:positionH>
                      <wp:positionV relativeFrom="paragraph">
                        <wp:posOffset>-5080</wp:posOffset>
                      </wp:positionV>
                      <wp:extent cx="2171700" cy="0"/>
                      <wp:effectExtent l="0" t="0" r="19050" b="19050"/>
                      <wp:wrapNone/>
                      <wp:docPr id="741195844" name="Straight Connector 741195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3A8A" id="Straight Connector 7411958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4pt" to="22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"/>
                  </w:pict>
                </mc:Fallback>
              </mc:AlternateContent>
            </w:r>
          </w:p>
          <w:p w14:paraId="25CF61C2" w14:textId="77777777" w:rsidR="0009546A" w:rsidRPr="00713E94" w:rsidRDefault="0009546A" w:rsidP="00CB6F64">
            <w:pPr>
              <w:tabs>
                <w:tab w:val="left" w:pos="720"/>
                <w:tab w:val="center" w:pos="4320"/>
                <w:tab w:val="right" w:pos="8640"/>
              </w:tabs>
              <w:spacing w:before="60" w:after="60" w:line="254" w:lineRule="auto"/>
              <w:jc w:val="center"/>
              <w:rPr>
                <w:rFonts w:eastAsia="Times New Roman" w:cs="Times New Roman"/>
                <w:i/>
                <w:sz w:val="27"/>
                <w:szCs w:val="27"/>
              </w:rPr>
            </w:pPr>
            <w:r w:rsidRPr="00713E94">
              <w:rPr>
                <w:rFonts w:eastAsia="Times New Roman" w:cs="Times New Roman"/>
                <w:i/>
                <w:sz w:val="27"/>
                <w:szCs w:val="27"/>
              </w:rPr>
              <w:t xml:space="preserve">         Hà Tĩnh, ngày </w:t>
            </w:r>
            <w:r>
              <w:rPr>
                <w:rFonts w:eastAsia="Times New Roman" w:cs="Times New Roman"/>
                <w:i/>
                <w:sz w:val="27"/>
                <w:szCs w:val="27"/>
              </w:rPr>
              <w:t>15</w:t>
            </w:r>
            <w:r w:rsidRPr="00713E94">
              <w:rPr>
                <w:rFonts w:eastAsia="Times New Roman" w:cs="Times New Roman"/>
                <w:i/>
                <w:sz w:val="27"/>
                <w:szCs w:val="27"/>
              </w:rPr>
              <w:t xml:space="preserve"> tháng </w:t>
            </w:r>
            <w:r>
              <w:rPr>
                <w:rFonts w:eastAsia="Times New Roman" w:cs="Times New Roman"/>
                <w:i/>
                <w:sz w:val="27"/>
                <w:szCs w:val="27"/>
              </w:rPr>
              <w:t xml:space="preserve">5  </w:t>
            </w:r>
            <w:r w:rsidRPr="00713E94">
              <w:rPr>
                <w:rFonts w:eastAsia="Times New Roman" w:cs="Times New Roman"/>
                <w:i/>
                <w:sz w:val="27"/>
                <w:szCs w:val="27"/>
              </w:rPr>
              <w:t>năm 202</w:t>
            </w:r>
            <w:r>
              <w:rPr>
                <w:rFonts w:eastAsia="Times New Roman" w:cs="Times New Roman"/>
                <w:i/>
                <w:sz w:val="27"/>
                <w:szCs w:val="27"/>
              </w:rPr>
              <w:t>5</w:t>
            </w:r>
          </w:p>
        </w:tc>
      </w:tr>
    </w:tbl>
    <w:p w14:paraId="59A1130E" w14:textId="77777777" w:rsidR="0009546A" w:rsidRDefault="0009546A" w:rsidP="0009546A">
      <w:pPr>
        <w:shd w:val="clear" w:color="auto" w:fill="FFFFFF"/>
        <w:spacing w:before="60" w:after="60" w:line="240" w:lineRule="auto"/>
        <w:jc w:val="both"/>
        <w:textAlignment w:val="baseline"/>
        <w:rPr>
          <w:rFonts w:eastAsia="Times New Roman" w:cs="Times New Roman"/>
          <w:sz w:val="28"/>
          <w:szCs w:val="28"/>
        </w:rPr>
      </w:pPr>
      <w:r w:rsidRPr="00713E94">
        <w:rPr>
          <w:rFonts w:eastAsia="Times New Roman" w:cs="Times New Roman"/>
          <w:sz w:val="28"/>
          <w:szCs w:val="28"/>
        </w:rPr>
        <w:t xml:space="preserve">       </w:t>
      </w:r>
      <w:r w:rsidRPr="00713E94">
        <w:rPr>
          <w:rFonts w:eastAsia="Times New Roman" w:cs="Times New Roman"/>
          <w:sz w:val="28"/>
          <w:szCs w:val="28"/>
        </w:rPr>
        <w:tab/>
      </w:r>
      <w:r w:rsidRPr="00713E94">
        <w:rPr>
          <w:rFonts w:eastAsia="Times New Roman" w:cs="Times New Roman"/>
          <w:sz w:val="28"/>
          <w:szCs w:val="28"/>
        </w:rPr>
        <w:tab/>
      </w:r>
      <w:r w:rsidRPr="00713E94">
        <w:rPr>
          <w:rFonts w:eastAsia="Times New Roman" w:cs="Times New Roman"/>
          <w:sz w:val="28"/>
          <w:szCs w:val="28"/>
        </w:rPr>
        <w:tab/>
      </w:r>
    </w:p>
    <w:p w14:paraId="1364F594" w14:textId="77777777" w:rsidR="0009546A" w:rsidRPr="00713E94" w:rsidRDefault="0009546A" w:rsidP="0009546A">
      <w:pPr>
        <w:shd w:val="clear" w:color="auto" w:fill="FFFFFF"/>
        <w:spacing w:before="60" w:after="60" w:line="240" w:lineRule="auto"/>
        <w:jc w:val="center"/>
        <w:textAlignment w:val="baseline"/>
        <w:rPr>
          <w:rFonts w:eastAsia="Times New Roman" w:cs="Times New Roman"/>
          <w:sz w:val="28"/>
          <w:szCs w:val="28"/>
        </w:rPr>
      </w:pPr>
      <w:r w:rsidRPr="00713E94">
        <w:rPr>
          <w:rFonts w:eastAsia="Times New Roman" w:cs="Times New Roman"/>
          <w:sz w:val="28"/>
          <w:szCs w:val="28"/>
        </w:rPr>
        <w:t xml:space="preserve">Kính gửi: </w:t>
      </w:r>
      <w:r>
        <w:rPr>
          <w:rFonts w:eastAsia="Times New Roman" w:cs="Times New Roman"/>
          <w:sz w:val="28"/>
          <w:szCs w:val="28"/>
        </w:rPr>
        <w:t>Sở Tư pháp Hà Tĩnh</w:t>
      </w:r>
    </w:p>
    <w:p w14:paraId="232DDB0D" w14:textId="77777777" w:rsidR="0009546A" w:rsidRDefault="0009546A" w:rsidP="0009546A">
      <w:pPr>
        <w:shd w:val="clear" w:color="auto" w:fill="FCFDFE"/>
        <w:spacing w:before="60" w:after="60" w:line="240" w:lineRule="auto"/>
        <w:jc w:val="center"/>
        <w:rPr>
          <w:rFonts w:eastAsia="Times New Roman" w:cs="Times New Roman"/>
          <w:b/>
          <w:sz w:val="28"/>
          <w:szCs w:val="28"/>
        </w:rPr>
      </w:pPr>
    </w:p>
    <w:p w14:paraId="3139429D" w14:textId="77777777" w:rsidR="0009546A" w:rsidRDefault="0009546A" w:rsidP="0009546A">
      <w:pPr>
        <w:shd w:val="clear" w:color="auto" w:fill="FFFFFF"/>
        <w:spacing w:before="60" w:after="60" w:line="276" w:lineRule="auto"/>
        <w:jc w:val="both"/>
        <w:textAlignment w:val="baseline"/>
        <w:rPr>
          <w:rFonts w:eastAsia="Times New Roman" w:cs="Times New Roman"/>
          <w:sz w:val="28"/>
          <w:szCs w:val="28"/>
        </w:rPr>
      </w:pPr>
      <w:r>
        <w:rPr>
          <w:rFonts w:eastAsia="Times New Roman" w:cs="Times New Roman"/>
          <w:sz w:val="28"/>
          <w:szCs w:val="28"/>
        </w:rPr>
        <w:t xml:space="preserve">        Thực hiện Công văn số 1178/</w:t>
      </w:r>
      <w:r w:rsidRPr="00D176C1">
        <w:t xml:space="preserve"> </w:t>
      </w:r>
      <w:r w:rsidRPr="00D176C1">
        <w:rPr>
          <w:sz w:val="28"/>
          <w:szCs w:val="28"/>
        </w:rPr>
        <w:t>STP-XDKT&amp;TDTHPL</w:t>
      </w:r>
      <w:r>
        <w:rPr>
          <w:rFonts w:eastAsia="Times New Roman" w:cs="Times New Roman"/>
          <w:sz w:val="28"/>
          <w:szCs w:val="28"/>
        </w:rPr>
        <w:t xml:space="preserve"> ngày 23/01/2024 của Sở Tư pháptỉnh Hà Tĩnh về việc tham gia </w:t>
      </w:r>
      <w:r w:rsidRPr="009A1AE8">
        <w:rPr>
          <w:rFonts w:eastAsia="Times New Roman" w:cs="Times New Roman"/>
          <w:sz w:val="28"/>
          <w:szCs w:val="28"/>
        </w:rPr>
        <w:t xml:space="preserve">góp ý </w:t>
      </w:r>
      <w:bookmarkStart w:id="0" w:name="_Hlk198280654"/>
      <w:r w:rsidRPr="009A1AE8">
        <w:rPr>
          <w:rFonts w:eastAsia="Times New Roman" w:cs="Times New Roman"/>
          <w:sz w:val="28"/>
          <w:szCs w:val="28"/>
        </w:rPr>
        <w:t>Dự thảo Nghị quyết sửa đổi, bổ sung một số điều của Hiến pháp năm 2013</w:t>
      </w:r>
      <w:r>
        <w:rPr>
          <w:rFonts w:eastAsia="Times New Roman" w:cs="Times New Roman"/>
          <w:sz w:val="28"/>
          <w:szCs w:val="28"/>
        </w:rPr>
        <w:t>,</w:t>
      </w:r>
      <w:bookmarkEnd w:id="0"/>
      <w:r>
        <w:rPr>
          <w:rFonts w:eastAsia="Times New Roman" w:cs="Times New Roman"/>
          <w:sz w:val="28"/>
          <w:szCs w:val="28"/>
        </w:rPr>
        <w:t xml:space="preserve"> sau khi nghiên cứu và thảo luận về nội dung dự thảo, Hội Luật gia Hà Tĩnh có một số ý kiến như sau:</w:t>
      </w:r>
    </w:p>
    <w:p w14:paraId="7CBD400C" w14:textId="77777777" w:rsidR="0009546A" w:rsidRDefault="0009546A" w:rsidP="0009546A">
      <w:pPr>
        <w:shd w:val="clear" w:color="auto" w:fill="FFFFFF"/>
        <w:spacing w:before="60" w:after="60" w:line="276" w:lineRule="auto"/>
        <w:ind w:firstLine="567"/>
        <w:jc w:val="both"/>
        <w:textAlignment w:val="baseline"/>
        <w:rPr>
          <w:rFonts w:cs="Times New Roman"/>
          <w:sz w:val="28"/>
          <w:szCs w:val="28"/>
          <w:shd w:val="clear" w:color="auto" w:fill="FFFFFF"/>
        </w:rPr>
      </w:pPr>
      <w:r w:rsidRPr="00D176C1">
        <w:rPr>
          <w:rFonts w:eastAsia="Times New Roman" w:cs="Times New Roman"/>
          <w:bCs/>
          <w:sz w:val="28"/>
          <w:szCs w:val="28"/>
        </w:rPr>
        <w:t>1.</w:t>
      </w:r>
      <w:r>
        <w:rPr>
          <w:rFonts w:eastAsia="Times New Roman" w:cs="Times New Roman"/>
          <w:b/>
          <w:sz w:val="28"/>
          <w:szCs w:val="28"/>
        </w:rPr>
        <w:t xml:space="preserve"> </w:t>
      </w:r>
      <w:r>
        <w:rPr>
          <w:rFonts w:eastAsia="Times New Roman" w:cs="Times New Roman"/>
          <w:sz w:val="28"/>
          <w:szCs w:val="28"/>
        </w:rPr>
        <w:t xml:space="preserve"> Hội Luật gia tỉnh </w:t>
      </w:r>
      <w:r w:rsidRPr="00BA6162">
        <w:rPr>
          <w:rFonts w:cs="Times New Roman"/>
          <w:color w:val="333333"/>
          <w:sz w:val="28"/>
          <w:szCs w:val="28"/>
          <w:shd w:val="clear" w:color="auto" w:fill="FFFFFF"/>
        </w:rPr>
        <w:t xml:space="preserve">thống nhất </w:t>
      </w:r>
      <w:r w:rsidRPr="00BA6162">
        <w:rPr>
          <w:rFonts w:cs="Times New Roman"/>
          <w:sz w:val="28"/>
          <w:szCs w:val="28"/>
          <w:shd w:val="clear" w:color="auto" w:fill="FFFFFF"/>
        </w:rPr>
        <w:t>cao với sự cần thiết, nội dung và phạm vi sửa đổi, bổ sung của Hiến pháp năm 2013. Việc sửa đổi, bổ sung Hiến pháp sẽ tạo cơ sở pháp lý quan trọng để thực hiện cuộc cách mạng về tổ chức bộ máy, thực hiện chủ trương tinh giản, sắp xếp tổ chức bộ máy của hệ thống chính trị; tạo cơ sở pháp lý cho việc kiện toàn tổ chức bộ máy của các cơ quan, tổ chức trong sắp xếp đơn vị hành chính cấp tỉnh, cấp xã</w:t>
      </w:r>
      <w:r>
        <w:rPr>
          <w:rFonts w:cs="Times New Roman"/>
          <w:sz w:val="28"/>
          <w:szCs w:val="28"/>
          <w:shd w:val="clear" w:color="auto" w:fill="FFFFFF"/>
        </w:rPr>
        <w:t>.</w:t>
      </w:r>
    </w:p>
    <w:p w14:paraId="034F0359" w14:textId="77777777" w:rsidR="0009546A" w:rsidRPr="00EF2FFC" w:rsidRDefault="0009546A" w:rsidP="0009546A">
      <w:pPr>
        <w:widowControl w:val="0"/>
        <w:tabs>
          <w:tab w:val="left" w:pos="2324"/>
        </w:tabs>
        <w:spacing w:before="60" w:after="60" w:line="276" w:lineRule="auto"/>
        <w:ind w:firstLine="567"/>
        <w:jc w:val="both"/>
        <w:rPr>
          <w:sz w:val="28"/>
          <w:szCs w:val="28"/>
          <w:lang w:val="es-ES"/>
        </w:rPr>
      </w:pPr>
      <w:r>
        <w:rPr>
          <w:rFonts w:cs="Times New Roman"/>
          <w:sz w:val="28"/>
          <w:szCs w:val="28"/>
          <w:shd w:val="clear" w:color="auto" w:fill="FFFFFF"/>
        </w:rPr>
        <w:t xml:space="preserve">2. Một số góp ý cụ thể: </w:t>
      </w:r>
      <w:r w:rsidRPr="00EF2FFC">
        <w:rPr>
          <w:sz w:val="28"/>
          <w:szCs w:val="28"/>
          <w:lang w:val="es-ES"/>
        </w:rPr>
        <w:t>Dự thảo sửa đổi, bổ sung 08 điều Hiến pháp năm 2013, gồm các Điều sau: Điều 9, Điều 10, Điều 84, Điều 110, Điều 111, Điều 112, Điều 114, Điều 115.</w:t>
      </w:r>
    </w:p>
    <w:p w14:paraId="094031E5" w14:textId="77777777" w:rsidR="0009546A" w:rsidRDefault="0009546A" w:rsidP="0009546A">
      <w:pPr>
        <w:widowControl w:val="0"/>
        <w:tabs>
          <w:tab w:val="left" w:pos="2324"/>
        </w:tabs>
        <w:spacing w:before="60" w:after="60" w:line="276" w:lineRule="auto"/>
        <w:ind w:firstLine="567"/>
        <w:jc w:val="both"/>
        <w:rPr>
          <w:sz w:val="28"/>
          <w:szCs w:val="28"/>
          <w:lang w:val="es-ES"/>
        </w:rPr>
      </w:pPr>
      <w:r w:rsidRPr="00EF2FFC">
        <w:rPr>
          <w:sz w:val="28"/>
          <w:szCs w:val="28"/>
          <w:lang w:val="es-ES"/>
        </w:rPr>
        <w:t>Sau khi nghiên cứu Hội Luật gia tỉnh có một số góp ý cụ thể như sau:</w:t>
      </w:r>
    </w:p>
    <w:p w14:paraId="7EC6D962" w14:textId="77777777" w:rsidR="0009546A" w:rsidRPr="00DC6057" w:rsidRDefault="0009546A" w:rsidP="0009546A">
      <w:pPr>
        <w:spacing w:before="60" w:after="60" w:line="276" w:lineRule="auto"/>
        <w:ind w:firstLine="567"/>
        <w:jc w:val="both"/>
        <w:rPr>
          <w:sz w:val="28"/>
          <w:szCs w:val="28"/>
        </w:rPr>
      </w:pPr>
      <w:r w:rsidRPr="0009546A">
        <w:rPr>
          <w:b/>
          <w:sz w:val="28"/>
          <w:szCs w:val="28"/>
        </w:rPr>
        <w:t>2.1.</w:t>
      </w:r>
      <w:r w:rsidRPr="00DC6057">
        <w:rPr>
          <w:b/>
          <w:sz w:val="28"/>
          <w:szCs w:val="28"/>
        </w:rPr>
        <w:t xml:space="preserve"> Về Điều 1 của dự thảo Nghị quyết</w:t>
      </w:r>
      <w:r w:rsidRPr="00DC6057">
        <w:rPr>
          <w:b/>
          <w:i/>
          <w:iCs/>
          <w:sz w:val="28"/>
          <w:szCs w:val="28"/>
        </w:rPr>
        <w:t xml:space="preserve"> </w:t>
      </w:r>
    </w:p>
    <w:p w14:paraId="2D8E8878" w14:textId="77777777" w:rsidR="0009546A" w:rsidRPr="00DC6057" w:rsidRDefault="0009546A" w:rsidP="0009546A">
      <w:pPr>
        <w:spacing w:before="60" w:after="60" w:line="276" w:lineRule="auto"/>
        <w:ind w:firstLine="567"/>
        <w:jc w:val="both"/>
        <w:rPr>
          <w:sz w:val="28"/>
          <w:szCs w:val="28"/>
        </w:rPr>
      </w:pPr>
      <w:r w:rsidRPr="00DC6057">
        <w:rPr>
          <w:b/>
          <w:i/>
          <w:iCs/>
          <w:sz w:val="28"/>
          <w:szCs w:val="28"/>
        </w:rPr>
        <w:t>- Sửa đổi, bổ sung Điều 10:</w:t>
      </w:r>
      <w:r w:rsidRPr="00DC6057">
        <w:rPr>
          <w:sz w:val="28"/>
          <w:szCs w:val="28"/>
        </w:rPr>
        <w:t xml:space="preserve"> Quy định về Công đoàn Việt Nam</w:t>
      </w:r>
    </w:p>
    <w:p w14:paraId="5016224F" w14:textId="77777777" w:rsidR="0009546A" w:rsidRPr="00DC6057" w:rsidRDefault="0009546A" w:rsidP="0009546A">
      <w:pPr>
        <w:spacing w:before="60" w:after="60" w:line="276" w:lineRule="auto"/>
        <w:ind w:firstLine="567"/>
        <w:jc w:val="both"/>
        <w:rPr>
          <w:sz w:val="28"/>
          <w:szCs w:val="28"/>
        </w:rPr>
      </w:pPr>
      <w:r w:rsidRPr="00DC6057">
        <w:rPr>
          <w:sz w:val="28"/>
          <w:szCs w:val="28"/>
        </w:rPr>
        <w:t>Bỏ cụm từ “trực thuộc MTTQ Việt Nam’ vì khoản 2 Điều 9 đã xác định: Công đoàn Việt Nam …là các tổ chức chính trị - xã hội trực thuộc Mặt trận Tổ quốc Việt Nam.</w:t>
      </w:r>
    </w:p>
    <w:p w14:paraId="7C2F0BCF" w14:textId="77777777" w:rsidR="0009546A" w:rsidRPr="00DC6057" w:rsidRDefault="0009546A" w:rsidP="0009546A">
      <w:pPr>
        <w:spacing w:before="60" w:after="60" w:line="276" w:lineRule="auto"/>
        <w:ind w:firstLine="567"/>
        <w:jc w:val="both"/>
        <w:rPr>
          <w:sz w:val="28"/>
          <w:szCs w:val="28"/>
        </w:rPr>
      </w:pPr>
      <w:r w:rsidRPr="00DC6057">
        <w:rPr>
          <w:b/>
          <w:bCs/>
          <w:i/>
          <w:iCs/>
          <w:sz w:val="28"/>
          <w:szCs w:val="28"/>
        </w:rPr>
        <w:t>- Sửa đổi, bổ sung Điều 110:</w:t>
      </w:r>
      <w:r w:rsidRPr="00DC6057">
        <w:rPr>
          <w:sz w:val="28"/>
          <w:szCs w:val="28"/>
        </w:rPr>
        <w:t xml:space="preserve"> Quy định về tổ chức đơn vị hành chính</w:t>
      </w:r>
    </w:p>
    <w:p w14:paraId="33E4FF9B" w14:textId="77777777" w:rsidR="0009546A" w:rsidRPr="00DC6057" w:rsidRDefault="0009546A" w:rsidP="0009546A">
      <w:pPr>
        <w:spacing w:before="60" w:after="60" w:line="276" w:lineRule="auto"/>
        <w:ind w:firstLine="567"/>
        <w:jc w:val="both"/>
        <w:rPr>
          <w:sz w:val="28"/>
          <w:szCs w:val="28"/>
        </w:rPr>
      </w:pPr>
      <w:r w:rsidRPr="00DC6057">
        <w:rPr>
          <w:bCs/>
          <w:sz w:val="28"/>
          <w:szCs w:val="28"/>
        </w:rPr>
        <w:t xml:space="preserve">Tại </w:t>
      </w:r>
      <w:r w:rsidRPr="00DC6057">
        <w:rPr>
          <w:sz w:val="28"/>
          <w:szCs w:val="28"/>
        </w:rPr>
        <w:t>khoản 1: Sử dụng cụm từ “đơn vị hành chính dưới tỉnh, thành phố trực thuộc trung ương” là quá chung chung, nên có tên gọi cụ thể của đơn vị hành chính dưới tỉnh, thành phố trực thuộc trung ương là xã, phường, đặc khu.</w:t>
      </w:r>
    </w:p>
    <w:p w14:paraId="732EBD70" w14:textId="77777777" w:rsidR="0009546A" w:rsidRPr="00DC6057" w:rsidRDefault="0009546A" w:rsidP="0009546A">
      <w:pPr>
        <w:spacing w:before="60" w:after="60" w:line="276" w:lineRule="auto"/>
        <w:ind w:firstLine="567"/>
        <w:jc w:val="both"/>
        <w:rPr>
          <w:sz w:val="28"/>
          <w:szCs w:val="28"/>
        </w:rPr>
      </w:pPr>
      <w:r w:rsidRPr="00DC6057">
        <w:rPr>
          <w:sz w:val="28"/>
          <w:szCs w:val="28"/>
        </w:rPr>
        <w:t xml:space="preserve">Tại khoản 3: Tách làm hai đoạn: Việc xác định các loại đơn vị hành chính dưới tỉnh, thành phố thuộc trung ương do Quốc hội quyết định. Trình tự, thủ tục thành lập, giải thể, nhập, chia đơn vị hành chính, điều chỉnh địa giới đơn vị hành chính do Quốc hội quy định. Như vậy mới thể hiện rõ thẩm quyền của Quốc hội </w:t>
      </w:r>
      <w:r w:rsidRPr="00DC6057">
        <w:rPr>
          <w:sz w:val="28"/>
          <w:szCs w:val="28"/>
        </w:rPr>
        <w:lastRenderedPageBreak/>
        <w:t>về nội dụng: Quyết định xác định các loại đơn vị hành chính dưới tỉnh, thành phố thuộc trung ương; thẩm quyền của Quốc hội về hình thức: Quy định về trình tự, thủ tục thành lập, giải thể, nhập, chia đơn vị hành chính, điều chỉnh địa giới đơn vị hành chính.</w:t>
      </w:r>
    </w:p>
    <w:p w14:paraId="6326739D" w14:textId="77777777" w:rsidR="0009546A" w:rsidRPr="00DC6057" w:rsidRDefault="0009546A" w:rsidP="0009546A">
      <w:pPr>
        <w:spacing w:before="60" w:after="60" w:line="276" w:lineRule="auto"/>
        <w:ind w:firstLine="567"/>
        <w:jc w:val="both"/>
        <w:rPr>
          <w:sz w:val="28"/>
          <w:szCs w:val="28"/>
        </w:rPr>
      </w:pPr>
      <w:r w:rsidRPr="00DC6057">
        <w:rPr>
          <w:b/>
          <w:bCs/>
          <w:i/>
          <w:iCs/>
          <w:sz w:val="28"/>
          <w:szCs w:val="28"/>
        </w:rPr>
        <w:t xml:space="preserve">- Sửa đổi, bổ sung Điều 115: </w:t>
      </w:r>
      <w:r w:rsidRPr="00DC6057">
        <w:rPr>
          <w:sz w:val="28"/>
          <w:szCs w:val="28"/>
        </w:rPr>
        <w:t>Quy định về đại biểu Hội đồng nhân dân</w:t>
      </w:r>
    </w:p>
    <w:p w14:paraId="552E26AD" w14:textId="77777777" w:rsidR="0009546A" w:rsidRPr="00DC6057" w:rsidRDefault="0009546A" w:rsidP="0009546A">
      <w:pPr>
        <w:spacing w:before="60" w:after="60" w:line="276" w:lineRule="auto"/>
        <w:jc w:val="both"/>
        <w:rPr>
          <w:sz w:val="28"/>
          <w:szCs w:val="28"/>
        </w:rPr>
      </w:pPr>
      <w:r w:rsidRPr="00DC6057">
        <w:rPr>
          <w:b/>
          <w:sz w:val="28"/>
          <w:szCs w:val="28"/>
        </w:rPr>
        <w:t xml:space="preserve"> </w:t>
      </w:r>
      <w:r>
        <w:rPr>
          <w:b/>
          <w:sz w:val="28"/>
          <w:szCs w:val="28"/>
        </w:rPr>
        <w:tab/>
      </w:r>
      <w:r w:rsidRPr="00DC6057">
        <w:rPr>
          <w:bCs/>
          <w:sz w:val="28"/>
          <w:szCs w:val="28"/>
        </w:rPr>
        <w:t>Tại k</w:t>
      </w:r>
      <w:r w:rsidRPr="00DC6057">
        <w:rPr>
          <w:sz w:val="28"/>
          <w:szCs w:val="28"/>
        </w:rPr>
        <w:t xml:space="preserve">hoản 2: Đề nghị sửa đại biểu Hội đồng nhân dân có quyền chất vấn các thành viên UBND là đủ bởi vì Chủ tịch Ủy ban nhân dân cũng là thành viên của Ủy ban nhân dân. </w:t>
      </w:r>
    </w:p>
    <w:p w14:paraId="668E901D" w14:textId="77777777" w:rsidR="0009546A" w:rsidRPr="00DC6057" w:rsidRDefault="0009546A" w:rsidP="0009546A">
      <w:pPr>
        <w:spacing w:before="60" w:after="60" w:line="276" w:lineRule="auto"/>
        <w:ind w:firstLine="720"/>
        <w:jc w:val="both"/>
        <w:rPr>
          <w:sz w:val="28"/>
          <w:szCs w:val="28"/>
        </w:rPr>
      </w:pPr>
      <w:r w:rsidRPr="00DC6057">
        <w:rPr>
          <w:sz w:val="28"/>
          <w:szCs w:val="28"/>
        </w:rPr>
        <w:t xml:space="preserve">Đề nghị giữ nguyên quyền chất vấn của đại biểu Hội đồng nhân dân đối với Chánh án Tòa án nhân dân và Viện trưởng Viện kiểm sát nhân dân. Bởi vì, Tòa án là cơ quan thực hiện quyền tư pháp, hoạt động của Tòa án, Viện kiểm sát liên quan trực tiếp đến các quyền và lợi ích của con người, của công dân, do đó việc chất vấn đối với Chánh án Tòa án nhân dân và Viện trưởng Viện kiểm sát nhân dân là rất cần thiết, được Nhân dân đánh giá cao. Chỉ vì bỏ Tòa án nhân dân và Viện kiểm sát nhân dân cấp huyện bằng các tổ chức Tòa án nhân dân và Viện kiểm sát nhân dân khu vực không gắn với một đơn vị hành chính cụ thể mà bỏ quyền chất vấn của đại biểu Hội đồng nhân dân đối với Chánh án Tòa án nhân dân và Viện trưởng Viện kiểm sát nhân dân cấp tỉnh là không phù hợp, làm hạn chế quyền giám sát của đại biểu Hội đồng nhân dân.   </w:t>
      </w:r>
    </w:p>
    <w:p w14:paraId="063B9D81" w14:textId="77777777" w:rsidR="0009546A" w:rsidRPr="00DC6057" w:rsidRDefault="0009546A" w:rsidP="0009546A">
      <w:pPr>
        <w:spacing w:before="60" w:after="60" w:line="276" w:lineRule="auto"/>
        <w:ind w:firstLine="720"/>
        <w:jc w:val="both"/>
        <w:rPr>
          <w:b/>
          <w:sz w:val="28"/>
          <w:szCs w:val="28"/>
        </w:rPr>
      </w:pPr>
      <w:r>
        <w:rPr>
          <w:b/>
          <w:sz w:val="28"/>
          <w:szCs w:val="28"/>
        </w:rPr>
        <w:t>2.</w:t>
      </w:r>
      <w:r w:rsidRPr="00DC6057">
        <w:rPr>
          <w:b/>
          <w:sz w:val="28"/>
          <w:szCs w:val="28"/>
        </w:rPr>
        <w:t xml:space="preserve">2. Về Điều 2 của Dự thảo Nghị quyết </w:t>
      </w:r>
    </w:p>
    <w:p w14:paraId="3815FFBB" w14:textId="77777777" w:rsidR="0009546A" w:rsidRDefault="0009546A" w:rsidP="0009546A">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60" w:after="60" w:line="276" w:lineRule="auto"/>
        <w:ind w:firstLine="567"/>
        <w:jc w:val="both"/>
        <w:rPr>
          <w:color w:val="000000"/>
          <w:spacing w:val="-2"/>
          <w:sz w:val="28"/>
          <w:szCs w:val="28"/>
          <w:lang w:val="pt-BR"/>
        </w:rPr>
      </w:pPr>
      <w:r w:rsidRPr="00D176C1">
        <w:rPr>
          <w:color w:val="000000"/>
          <w:spacing w:val="-2"/>
          <w:sz w:val="28"/>
          <w:szCs w:val="28"/>
          <w:lang w:val="pt-BR"/>
        </w:rPr>
        <w:t>Hội Luật gia tỉnh đồng ý như dự thảo. Bởi bản thuyết minh cũng đã chỉ ra rõ các nội dung về hiệu lực thi hành của Nghị quyết cũng như điều khoản chuyển tiếp.</w:t>
      </w:r>
    </w:p>
    <w:p w14:paraId="3F0086AB" w14:textId="77777777" w:rsidR="0009546A" w:rsidRDefault="0009546A" w:rsidP="0009546A">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60" w:after="60" w:line="276" w:lineRule="auto"/>
        <w:ind w:firstLine="567"/>
        <w:jc w:val="both"/>
        <w:rPr>
          <w:rFonts w:eastAsia="Times New Roman" w:cs="Times New Roman"/>
          <w:sz w:val="28"/>
          <w:szCs w:val="28"/>
        </w:rPr>
      </w:pPr>
      <w:r w:rsidRPr="00713E94">
        <w:rPr>
          <w:rFonts w:eastAsia="Times New Roman" w:cs="Times New Roman"/>
          <w:sz w:val="28"/>
          <w:szCs w:val="28"/>
        </w:rPr>
        <w:t xml:space="preserve">Trên đây là một số ý kiến đóng góp của Hội Luật gia Hà Tĩnh đối với </w:t>
      </w:r>
      <w:r w:rsidRPr="009A1AE8">
        <w:rPr>
          <w:rFonts w:eastAsia="Times New Roman" w:cs="Times New Roman"/>
          <w:sz w:val="28"/>
          <w:szCs w:val="28"/>
        </w:rPr>
        <w:t>Dự thảo Nghị quyết sửa đổi, bổ sung một số điều của Hiến pháp năm 2013</w:t>
      </w:r>
      <w:r w:rsidRPr="00713E94">
        <w:rPr>
          <w:rFonts w:eastAsia="Times New Roman" w:cs="Times New Roman"/>
          <w:sz w:val="28"/>
          <w:szCs w:val="28"/>
        </w:rPr>
        <w:t>./.</w:t>
      </w:r>
    </w:p>
    <w:tbl>
      <w:tblPr>
        <w:tblStyle w:val="TableGrid"/>
        <w:tblW w:w="9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0"/>
      </w:tblGrid>
      <w:tr w:rsidR="0009546A" w14:paraId="16568F1A" w14:textId="77777777" w:rsidTr="0009546A">
        <w:trPr>
          <w:trHeight w:val="1293"/>
        </w:trPr>
        <w:tc>
          <w:tcPr>
            <w:tcW w:w="4106" w:type="dxa"/>
          </w:tcPr>
          <w:p w14:paraId="0D1B1ED1" w14:textId="77777777" w:rsidR="0009546A" w:rsidRPr="0009546A" w:rsidRDefault="0009546A" w:rsidP="0009546A">
            <w:pPr>
              <w:widowControl w:val="0"/>
              <w:tabs>
                <w:tab w:val="left" w:pos="2324"/>
              </w:tabs>
              <w:spacing w:line="276" w:lineRule="auto"/>
              <w:jc w:val="both"/>
              <w:rPr>
                <w:rFonts w:eastAsia="Times New Roman" w:cs="Times New Roman"/>
                <w:b/>
                <w:bCs/>
                <w:szCs w:val="24"/>
              </w:rPr>
            </w:pPr>
            <w:r w:rsidRPr="0009546A">
              <w:rPr>
                <w:rFonts w:eastAsia="Times New Roman" w:cs="Times New Roman"/>
                <w:b/>
                <w:bCs/>
                <w:szCs w:val="24"/>
              </w:rPr>
              <w:t>Nơi nhận:</w:t>
            </w:r>
          </w:p>
          <w:p w14:paraId="3691AC59" w14:textId="77777777" w:rsidR="0009546A" w:rsidRPr="0009546A" w:rsidRDefault="0009546A" w:rsidP="0009546A">
            <w:pPr>
              <w:pStyle w:val="ListParagraph"/>
              <w:widowControl w:val="0"/>
              <w:numPr>
                <w:ilvl w:val="0"/>
                <w:numId w:val="1"/>
              </w:numPr>
              <w:tabs>
                <w:tab w:val="left" w:pos="2324"/>
              </w:tabs>
              <w:spacing w:line="276" w:lineRule="auto"/>
              <w:jc w:val="both"/>
              <w:rPr>
                <w:rFonts w:eastAsia="Times New Roman" w:cs="Times New Roman"/>
                <w:szCs w:val="24"/>
              </w:rPr>
            </w:pPr>
            <w:r w:rsidRPr="0009546A">
              <w:rPr>
                <w:rFonts w:eastAsia="Times New Roman" w:cs="Times New Roman"/>
                <w:szCs w:val="24"/>
              </w:rPr>
              <w:t>Như kính gửi;</w:t>
            </w:r>
          </w:p>
          <w:p w14:paraId="79822BE5" w14:textId="2684D9F7" w:rsidR="0009546A" w:rsidRPr="0009546A" w:rsidRDefault="0009546A" w:rsidP="0009546A">
            <w:pPr>
              <w:pStyle w:val="ListParagraph"/>
              <w:widowControl w:val="0"/>
              <w:numPr>
                <w:ilvl w:val="0"/>
                <w:numId w:val="1"/>
              </w:numPr>
              <w:tabs>
                <w:tab w:val="left" w:pos="2324"/>
              </w:tabs>
              <w:spacing w:line="276" w:lineRule="auto"/>
              <w:jc w:val="both"/>
              <w:rPr>
                <w:rFonts w:eastAsia="Times New Roman" w:cs="Times New Roman"/>
                <w:sz w:val="28"/>
                <w:szCs w:val="28"/>
              </w:rPr>
            </w:pPr>
            <w:r w:rsidRPr="0009546A">
              <w:rPr>
                <w:rFonts w:eastAsia="Times New Roman" w:cs="Times New Roman"/>
                <w:szCs w:val="24"/>
              </w:rPr>
              <w:t>Lưu VPH</w:t>
            </w:r>
          </w:p>
        </w:tc>
        <w:tc>
          <w:tcPr>
            <w:tcW w:w="5230" w:type="dxa"/>
          </w:tcPr>
          <w:p w14:paraId="66E50AB8" w14:textId="77777777" w:rsidR="0009546A" w:rsidRPr="0009546A" w:rsidRDefault="0009546A" w:rsidP="0009546A">
            <w:pPr>
              <w:widowControl w:val="0"/>
              <w:tabs>
                <w:tab w:val="left" w:pos="2324"/>
              </w:tabs>
              <w:spacing w:line="276" w:lineRule="auto"/>
              <w:jc w:val="center"/>
              <w:rPr>
                <w:rFonts w:eastAsia="Times New Roman" w:cs="Times New Roman"/>
                <w:b/>
                <w:bCs/>
                <w:sz w:val="28"/>
                <w:szCs w:val="28"/>
              </w:rPr>
            </w:pPr>
            <w:r w:rsidRPr="0009546A">
              <w:rPr>
                <w:rFonts w:eastAsia="Times New Roman" w:cs="Times New Roman"/>
                <w:b/>
                <w:bCs/>
                <w:sz w:val="28"/>
                <w:szCs w:val="28"/>
              </w:rPr>
              <w:t>KT. CHỦ TỊCH</w:t>
            </w:r>
          </w:p>
          <w:p w14:paraId="0C814F40" w14:textId="77777777" w:rsidR="0009546A" w:rsidRPr="0009546A" w:rsidRDefault="0009546A" w:rsidP="0009546A">
            <w:pPr>
              <w:widowControl w:val="0"/>
              <w:tabs>
                <w:tab w:val="left" w:pos="2324"/>
              </w:tabs>
              <w:spacing w:line="276" w:lineRule="auto"/>
              <w:jc w:val="center"/>
              <w:rPr>
                <w:rFonts w:eastAsia="Times New Roman" w:cs="Times New Roman"/>
                <w:b/>
                <w:bCs/>
                <w:sz w:val="28"/>
                <w:szCs w:val="28"/>
              </w:rPr>
            </w:pPr>
            <w:r w:rsidRPr="0009546A">
              <w:rPr>
                <w:rFonts w:eastAsia="Times New Roman" w:cs="Times New Roman"/>
                <w:b/>
                <w:bCs/>
                <w:sz w:val="28"/>
                <w:szCs w:val="28"/>
              </w:rPr>
              <w:t>PHÓ CHỦ TỊCH</w:t>
            </w:r>
          </w:p>
          <w:p w14:paraId="7CE6656B" w14:textId="77777777" w:rsidR="0009546A" w:rsidRPr="0009546A" w:rsidRDefault="0009546A" w:rsidP="0009546A">
            <w:pPr>
              <w:widowControl w:val="0"/>
              <w:tabs>
                <w:tab w:val="left" w:pos="2324"/>
              </w:tabs>
              <w:spacing w:line="276" w:lineRule="auto"/>
              <w:jc w:val="center"/>
              <w:rPr>
                <w:rFonts w:eastAsia="Times New Roman" w:cs="Times New Roman"/>
                <w:b/>
                <w:bCs/>
                <w:sz w:val="28"/>
                <w:szCs w:val="28"/>
              </w:rPr>
            </w:pPr>
          </w:p>
          <w:p w14:paraId="46A4F107" w14:textId="77777777" w:rsidR="0009546A" w:rsidRPr="0009546A" w:rsidRDefault="0009546A" w:rsidP="0009546A">
            <w:pPr>
              <w:widowControl w:val="0"/>
              <w:tabs>
                <w:tab w:val="left" w:pos="2324"/>
              </w:tabs>
              <w:spacing w:line="276" w:lineRule="auto"/>
              <w:jc w:val="center"/>
              <w:rPr>
                <w:rFonts w:eastAsia="Times New Roman" w:cs="Times New Roman"/>
                <w:b/>
                <w:bCs/>
                <w:sz w:val="28"/>
                <w:szCs w:val="28"/>
              </w:rPr>
            </w:pPr>
          </w:p>
          <w:p w14:paraId="0CF959EC" w14:textId="77777777" w:rsidR="0009546A" w:rsidRPr="0009546A" w:rsidRDefault="0009546A" w:rsidP="0009546A">
            <w:pPr>
              <w:widowControl w:val="0"/>
              <w:tabs>
                <w:tab w:val="left" w:pos="2324"/>
              </w:tabs>
              <w:spacing w:line="276" w:lineRule="auto"/>
              <w:jc w:val="center"/>
              <w:rPr>
                <w:rFonts w:eastAsia="Times New Roman" w:cs="Times New Roman"/>
                <w:b/>
                <w:bCs/>
                <w:sz w:val="28"/>
                <w:szCs w:val="28"/>
              </w:rPr>
            </w:pPr>
          </w:p>
          <w:p w14:paraId="4BEBD305" w14:textId="77777777" w:rsidR="0009546A" w:rsidRPr="0009546A" w:rsidRDefault="0009546A" w:rsidP="0009546A">
            <w:pPr>
              <w:widowControl w:val="0"/>
              <w:tabs>
                <w:tab w:val="left" w:pos="2324"/>
              </w:tabs>
              <w:spacing w:line="276" w:lineRule="auto"/>
              <w:jc w:val="center"/>
              <w:rPr>
                <w:rFonts w:eastAsia="Times New Roman" w:cs="Times New Roman"/>
                <w:b/>
                <w:bCs/>
                <w:sz w:val="28"/>
                <w:szCs w:val="28"/>
              </w:rPr>
            </w:pPr>
          </w:p>
          <w:p w14:paraId="11DAEA2E" w14:textId="425A7585" w:rsidR="0009546A" w:rsidRPr="0009546A" w:rsidRDefault="0009546A" w:rsidP="0009546A">
            <w:pPr>
              <w:widowControl w:val="0"/>
              <w:tabs>
                <w:tab w:val="left" w:pos="2324"/>
              </w:tabs>
              <w:spacing w:line="276" w:lineRule="auto"/>
              <w:jc w:val="center"/>
              <w:rPr>
                <w:rFonts w:eastAsia="Times New Roman" w:cs="Times New Roman"/>
                <w:b/>
                <w:bCs/>
                <w:sz w:val="28"/>
                <w:szCs w:val="28"/>
              </w:rPr>
            </w:pPr>
            <w:r w:rsidRPr="0009546A">
              <w:rPr>
                <w:rFonts w:eastAsia="Times New Roman" w:cs="Times New Roman"/>
                <w:b/>
                <w:bCs/>
                <w:sz w:val="28"/>
                <w:szCs w:val="28"/>
              </w:rPr>
              <w:t>Trương Hữu Quân</w:t>
            </w:r>
          </w:p>
        </w:tc>
      </w:tr>
    </w:tbl>
    <w:p w14:paraId="5F6BA061" w14:textId="77777777" w:rsidR="0009546A" w:rsidRPr="00713E94" w:rsidRDefault="0009546A" w:rsidP="0009546A">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after="0" w:line="276" w:lineRule="auto"/>
        <w:ind w:firstLine="567"/>
        <w:jc w:val="both"/>
        <w:rPr>
          <w:rFonts w:eastAsia="Times New Roman" w:cs="Times New Roman"/>
          <w:sz w:val="28"/>
          <w:szCs w:val="28"/>
        </w:rPr>
      </w:pPr>
    </w:p>
    <w:p w14:paraId="7C39EFFD" w14:textId="77777777" w:rsidR="00E87604" w:rsidRDefault="00E87604"/>
    <w:sectPr w:rsidR="00E87604" w:rsidSect="00E8760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0771A"/>
    <w:multiLevelType w:val="hybridMultilevel"/>
    <w:tmpl w:val="9CD66244"/>
    <w:lvl w:ilvl="0" w:tplc="E4AAFF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79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6A"/>
    <w:rsid w:val="0009546A"/>
    <w:rsid w:val="00734493"/>
    <w:rsid w:val="00826E5E"/>
    <w:rsid w:val="00CE47B1"/>
    <w:rsid w:val="00E8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CF42"/>
  <w15:chartTrackingRefBased/>
  <w15:docId w15:val="{7AAE934B-F57F-45BD-8817-42B6BB23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6A"/>
    <w:pPr>
      <w:spacing w:line="252" w:lineRule="auto"/>
    </w:pPr>
    <w:rPr>
      <w:rFonts w:cstheme="minorBidi"/>
      <w:kern w:val="0"/>
      <w:sz w:val="24"/>
      <w:szCs w:val="22"/>
      <w14:ligatures w14:val="none"/>
    </w:rPr>
  </w:style>
  <w:style w:type="paragraph" w:styleId="Heading1">
    <w:name w:val="heading 1"/>
    <w:basedOn w:val="Normal"/>
    <w:next w:val="Normal"/>
    <w:link w:val="Heading1Char"/>
    <w:uiPriority w:val="9"/>
    <w:qFormat/>
    <w:rsid w:val="0009546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546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546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546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09546A"/>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6">
    <w:name w:val="heading 6"/>
    <w:basedOn w:val="Normal"/>
    <w:next w:val="Normal"/>
    <w:link w:val="Heading6Char"/>
    <w:uiPriority w:val="9"/>
    <w:semiHidden/>
    <w:unhideWhenUsed/>
    <w:qFormat/>
    <w:rsid w:val="0009546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szCs w:val="28"/>
      <w14:ligatures w14:val="standardContextual"/>
    </w:rPr>
  </w:style>
  <w:style w:type="paragraph" w:styleId="Heading7">
    <w:name w:val="heading 7"/>
    <w:basedOn w:val="Normal"/>
    <w:next w:val="Normal"/>
    <w:link w:val="Heading7Char"/>
    <w:uiPriority w:val="9"/>
    <w:semiHidden/>
    <w:unhideWhenUsed/>
    <w:qFormat/>
    <w:rsid w:val="0009546A"/>
    <w:pPr>
      <w:keepNext/>
      <w:keepLines/>
      <w:spacing w:before="40" w:after="0" w:line="259" w:lineRule="auto"/>
      <w:outlineLvl w:val="6"/>
    </w:pPr>
    <w:rPr>
      <w:rFonts w:asciiTheme="minorHAnsi" w:eastAsiaTheme="majorEastAsia" w:hAnsiTheme="minorHAnsi" w:cstheme="majorBidi"/>
      <w:color w:val="595959" w:themeColor="text1" w:themeTint="A6"/>
      <w:kern w:val="2"/>
      <w:sz w:val="28"/>
      <w:szCs w:val="28"/>
      <w14:ligatures w14:val="standardContextual"/>
    </w:rPr>
  </w:style>
  <w:style w:type="paragraph" w:styleId="Heading8">
    <w:name w:val="heading 8"/>
    <w:basedOn w:val="Normal"/>
    <w:next w:val="Normal"/>
    <w:link w:val="Heading8Char"/>
    <w:uiPriority w:val="9"/>
    <w:semiHidden/>
    <w:unhideWhenUsed/>
    <w:qFormat/>
    <w:rsid w:val="0009546A"/>
    <w:pPr>
      <w:keepNext/>
      <w:keepLines/>
      <w:spacing w:after="0" w:line="259" w:lineRule="auto"/>
      <w:outlineLvl w:val="7"/>
    </w:pPr>
    <w:rPr>
      <w:rFonts w:asciiTheme="minorHAnsi" w:eastAsiaTheme="majorEastAsia" w:hAnsiTheme="minorHAnsi" w:cstheme="majorBidi"/>
      <w:i/>
      <w:iCs/>
      <w:color w:val="272727" w:themeColor="text1" w:themeTint="D8"/>
      <w:kern w:val="2"/>
      <w:sz w:val="28"/>
      <w:szCs w:val="28"/>
      <w14:ligatures w14:val="standardContextual"/>
    </w:rPr>
  </w:style>
  <w:style w:type="paragraph" w:styleId="Heading9">
    <w:name w:val="heading 9"/>
    <w:basedOn w:val="Normal"/>
    <w:next w:val="Normal"/>
    <w:link w:val="Heading9Char"/>
    <w:uiPriority w:val="9"/>
    <w:semiHidden/>
    <w:unhideWhenUsed/>
    <w:qFormat/>
    <w:rsid w:val="0009546A"/>
    <w:pPr>
      <w:keepNext/>
      <w:keepLines/>
      <w:spacing w:after="0" w:line="259" w:lineRule="auto"/>
      <w:outlineLvl w:val="8"/>
    </w:pPr>
    <w:rPr>
      <w:rFonts w:asciiTheme="minorHAnsi" w:eastAsiaTheme="majorEastAsia" w:hAnsiTheme="minorHAnsi" w:cstheme="majorBidi"/>
      <w:color w:val="272727" w:themeColor="text1" w:themeTint="D8"/>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46A"/>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0954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54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54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54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54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54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54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5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46A"/>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546A"/>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9546A"/>
    <w:pPr>
      <w:spacing w:before="160" w:line="259" w:lineRule="auto"/>
      <w:jc w:val="center"/>
    </w:pPr>
    <w:rPr>
      <w:rFonts w:cs="Times New Roman"/>
      <w:i/>
      <w:iCs/>
      <w:color w:val="404040" w:themeColor="text1" w:themeTint="BF"/>
      <w:kern w:val="2"/>
      <w:sz w:val="28"/>
      <w:szCs w:val="28"/>
      <w14:ligatures w14:val="standardContextual"/>
    </w:rPr>
  </w:style>
  <w:style w:type="character" w:customStyle="1" w:styleId="QuoteChar">
    <w:name w:val="Quote Char"/>
    <w:basedOn w:val="DefaultParagraphFont"/>
    <w:link w:val="Quote"/>
    <w:uiPriority w:val="29"/>
    <w:rsid w:val="0009546A"/>
    <w:rPr>
      <w:i/>
      <w:iCs/>
      <w:color w:val="404040" w:themeColor="text1" w:themeTint="BF"/>
    </w:rPr>
  </w:style>
  <w:style w:type="paragraph" w:styleId="ListParagraph">
    <w:name w:val="List Paragraph"/>
    <w:basedOn w:val="Normal"/>
    <w:uiPriority w:val="34"/>
    <w:qFormat/>
    <w:rsid w:val="0009546A"/>
    <w:pPr>
      <w:spacing w:line="259" w:lineRule="auto"/>
      <w:ind w:left="720"/>
      <w:contextualSpacing/>
    </w:pPr>
    <w:rPr>
      <w:rFonts w:cs="Times New Roman"/>
      <w:kern w:val="2"/>
      <w:sz w:val="28"/>
      <w:szCs w:val="28"/>
      <w14:ligatures w14:val="standardContextual"/>
    </w:rPr>
  </w:style>
  <w:style w:type="character" w:styleId="IntenseEmphasis">
    <w:name w:val="Intense Emphasis"/>
    <w:basedOn w:val="DefaultParagraphFont"/>
    <w:uiPriority w:val="21"/>
    <w:qFormat/>
    <w:rsid w:val="0009546A"/>
    <w:rPr>
      <w:i/>
      <w:iCs/>
      <w:color w:val="0F4761" w:themeColor="accent1" w:themeShade="BF"/>
    </w:rPr>
  </w:style>
  <w:style w:type="paragraph" w:styleId="IntenseQuote">
    <w:name w:val="Intense Quote"/>
    <w:basedOn w:val="Normal"/>
    <w:next w:val="Normal"/>
    <w:link w:val="IntenseQuoteChar"/>
    <w:uiPriority w:val="30"/>
    <w:qFormat/>
    <w:rsid w:val="0009546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imes New Roman"/>
      <w:i/>
      <w:iCs/>
      <w:color w:val="0F4761" w:themeColor="accent1" w:themeShade="BF"/>
      <w:kern w:val="2"/>
      <w:sz w:val="28"/>
      <w:szCs w:val="28"/>
      <w14:ligatures w14:val="standardContextual"/>
    </w:rPr>
  </w:style>
  <w:style w:type="character" w:customStyle="1" w:styleId="IntenseQuoteChar">
    <w:name w:val="Intense Quote Char"/>
    <w:basedOn w:val="DefaultParagraphFont"/>
    <w:link w:val="IntenseQuote"/>
    <w:uiPriority w:val="30"/>
    <w:rsid w:val="0009546A"/>
    <w:rPr>
      <w:i/>
      <w:iCs/>
      <w:color w:val="0F4761" w:themeColor="accent1" w:themeShade="BF"/>
    </w:rPr>
  </w:style>
  <w:style w:type="character" w:styleId="IntenseReference">
    <w:name w:val="Intense Reference"/>
    <w:basedOn w:val="DefaultParagraphFont"/>
    <w:uiPriority w:val="32"/>
    <w:qFormat/>
    <w:rsid w:val="0009546A"/>
    <w:rPr>
      <w:b/>
      <w:bCs/>
      <w:smallCaps/>
      <w:color w:val="0F4761" w:themeColor="accent1" w:themeShade="BF"/>
      <w:spacing w:val="5"/>
    </w:rPr>
  </w:style>
  <w:style w:type="table" w:styleId="TableGrid">
    <w:name w:val="Table Grid"/>
    <w:basedOn w:val="TableNormal"/>
    <w:uiPriority w:val="39"/>
    <w:rsid w:val="000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2025-05-16T02:44:00Z</dcterms:created>
  <dcterms:modified xsi:type="dcterms:W3CDTF">2025-05-16T02:48:00Z</dcterms:modified>
</cp:coreProperties>
</file>