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8" w:type="dxa"/>
        <w:tblInd w:w="-176" w:type="dxa"/>
        <w:tblLayout w:type="fixed"/>
        <w:tblLook w:val="0000" w:firstRow="0" w:lastRow="0" w:firstColumn="0" w:lastColumn="0" w:noHBand="0" w:noVBand="0"/>
      </w:tblPr>
      <w:tblGrid>
        <w:gridCol w:w="4395"/>
        <w:gridCol w:w="5273"/>
      </w:tblGrid>
      <w:tr w:rsidR="001D6382" w:rsidRPr="001D6382" w:rsidTr="00A622EB">
        <w:tc>
          <w:tcPr>
            <w:tcW w:w="4395" w:type="dxa"/>
          </w:tcPr>
          <w:p w:rsidR="001D6382" w:rsidRPr="001D6382" w:rsidRDefault="001D6382" w:rsidP="001D6382">
            <w:pPr>
              <w:spacing w:before="0" w:after="0"/>
              <w:jc w:val="center"/>
              <w:rPr>
                <w:rFonts w:eastAsia="Times New Roman" w:cs="Times New Roman"/>
                <w:color w:val="000000"/>
                <w:sz w:val="24"/>
                <w:szCs w:val="28"/>
                <w:lang w:val="nl-NL"/>
              </w:rPr>
            </w:pPr>
            <w:r w:rsidRPr="001D6382">
              <w:rPr>
                <w:rFonts w:eastAsia="Times New Roman" w:cs="Times New Roman"/>
                <w:color w:val="000000"/>
                <w:sz w:val="24"/>
                <w:szCs w:val="28"/>
                <w:lang w:val="nl-NL"/>
              </w:rPr>
              <w:t>TÒA ÁN NHÂN DÂN TỐI CAO</w:t>
            </w:r>
          </w:p>
          <w:p w:rsidR="001D6382" w:rsidRPr="001D6382" w:rsidRDefault="001D6382" w:rsidP="001D6382">
            <w:pPr>
              <w:spacing w:before="0" w:after="0"/>
              <w:jc w:val="center"/>
              <w:rPr>
                <w:rFonts w:eastAsia="Times New Roman" w:cs="Times New Roman"/>
                <w:b/>
                <w:color w:val="000000"/>
                <w:sz w:val="24"/>
                <w:szCs w:val="28"/>
                <w:lang w:val="nl-NL"/>
              </w:rPr>
            </w:pPr>
            <w:r w:rsidRPr="001D6382">
              <w:rPr>
                <w:rFonts w:eastAsia="Times New Roman" w:cs="Times New Roman"/>
                <w:b/>
                <w:color w:val="000000"/>
                <w:sz w:val="24"/>
                <w:szCs w:val="28"/>
                <w:lang w:val="nl-NL"/>
              </w:rPr>
              <w:t>TOÀ ÁN NHÂN DÂN TỈNH HÀ TĨNH</w:t>
            </w:r>
          </w:p>
          <w:p w:rsidR="001D6382" w:rsidRPr="001D6382" w:rsidRDefault="001D6382" w:rsidP="001D6382">
            <w:pPr>
              <w:spacing w:before="0" w:after="0"/>
              <w:jc w:val="center"/>
              <w:rPr>
                <w:rFonts w:eastAsia="Times New Roman" w:cs="Times New Roman"/>
                <w:b/>
                <w:color w:val="000000"/>
                <w:szCs w:val="28"/>
                <w:lang w:val="nl-NL"/>
              </w:rPr>
            </w:pPr>
            <w:r w:rsidRPr="001D6382">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14:anchorId="7E5DAD6C" wp14:editId="6AD300A4">
                      <wp:simplePos x="0" y="0"/>
                      <wp:positionH relativeFrom="column">
                        <wp:posOffset>587375</wp:posOffset>
                      </wp:positionH>
                      <wp:positionV relativeFrom="paragraph">
                        <wp:posOffset>33020</wp:posOffset>
                      </wp:positionV>
                      <wp:extent cx="1409700" cy="0"/>
                      <wp:effectExtent l="6350" t="13970" r="1270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6.25pt;margin-top:2.6pt;width:1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sU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"/>
                  </w:pict>
                </mc:Fallback>
              </mc:AlternateContent>
            </w:r>
          </w:p>
          <w:p w:rsidR="001D6382" w:rsidRPr="001D6382" w:rsidRDefault="001D6382" w:rsidP="001D6382">
            <w:pPr>
              <w:spacing w:before="0" w:after="0"/>
              <w:jc w:val="center"/>
              <w:rPr>
                <w:rFonts w:eastAsia="Times New Roman" w:cs="Times New Roman"/>
                <w:b/>
                <w:color w:val="000000"/>
                <w:szCs w:val="28"/>
                <w:lang w:val="nl-NL"/>
              </w:rPr>
            </w:pPr>
          </w:p>
        </w:tc>
        <w:tc>
          <w:tcPr>
            <w:tcW w:w="5273" w:type="dxa"/>
          </w:tcPr>
          <w:p w:rsidR="001D6382" w:rsidRPr="001D6382" w:rsidRDefault="001D6382" w:rsidP="001D6382">
            <w:pPr>
              <w:spacing w:before="0" w:after="0"/>
              <w:jc w:val="center"/>
              <w:rPr>
                <w:rFonts w:eastAsia="Times New Roman" w:cs="Times New Roman"/>
                <w:b/>
                <w:color w:val="000000"/>
                <w:sz w:val="26"/>
                <w:szCs w:val="28"/>
                <w:lang w:val="nl-NL"/>
              </w:rPr>
            </w:pPr>
            <w:r w:rsidRPr="001D6382">
              <w:rPr>
                <w:rFonts w:eastAsia="Times New Roman" w:cs="Times New Roman"/>
                <w:b/>
                <w:color w:val="000000"/>
                <w:sz w:val="24"/>
                <w:szCs w:val="28"/>
                <w:lang w:val="nl-NL"/>
              </w:rPr>
              <w:t>CỘNG HOÀ XÃ HỘI CHỦ NGHĨA VIỆT NAM</w:t>
            </w:r>
          </w:p>
          <w:p w:rsidR="001D6382" w:rsidRPr="001D6382" w:rsidRDefault="001D6382" w:rsidP="001D6382">
            <w:pPr>
              <w:spacing w:before="0" w:after="0"/>
              <w:jc w:val="center"/>
              <w:rPr>
                <w:rFonts w:eastAsia="Times New Roman" w:cs="Times New Roman"/>
                <w:b/>
                <w:color w:val="000000"/>
                <w:sz w:val="26"/>
                <w:szCs w:val="28"/>
                <w:lang w:val="nl-NL"/>
              </w:rPr>
            </w:pPr>
            <w:r w:rsidRPr="001D6382">
              <w:rPr>
                <w:rFonts w:eastAsia="Times New Roman" w:cs="Times New Roman"/>
                <w:b/>
                <w:color w:val="000000"/>
                <w:sz w:val="26"/>
                <w:szCs w:val="28"/>
                <w:lang w:val="nl-NL"/>
              </w:rPr>
              <w:t>Độc lập - Tự do - Hạnh phúc</w:t>
            </w:r>
          </w:p>
          <w:p w:rsidR="001D6382" w:rsidRPr="001D6382" w:rsidRDefault="001D6382" w:rsidP="001D6382">
            <w:pPr>
              <w:spacing w:before="0" w:after="0"/>
              <w:jc w:val="center"/>
              <w:rPr>
                <w:rFonts w:eastAsia="Times New Roman" w:cs="Times New Roman"/>
                <w:b/>
                <w:color w:val="000000"/>
                <w:szCs w:val="28"/>
                <w:lang w:val="nl-NL"/>
              </w:rPr>
            </w:pPr>
            <w:r w:rsidRPr="001D6382">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14:anchorId="3BCC8FE2" wp14:editId="31B8B821">
                      <wp:simplePos x="0" y="0"/>
                      <wp:positionH relativeFrom="column">
                        <wp:posOffset>603250</wp:posOffset>
                      </wp:positionH>
                      <wp:positionV relativeFrom="paragraph">
                        <wp:posOffset>22860</wp:posOffset>
                      </wp:positionV>
                      <wp:extent cx="1971675" cy="0"/>
                      <wp:effectExtent l="12700" t="13335" r="6350" b="57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7.5pt;margin-top:1.8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tc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T5UMyf5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"/>
                  </w:pict>
                </mc:Fallback>
              </mc:AlternateContent>
            </w:r>
          </w:p>
          <w:p w:rsidR="001D6382" w:rsidRPr="001D6382" w:rsidRDefault="001D6382" w:rsidP="001D6382">
            <w:pPr>
              <w:spacing w:before="0" w:after="0"/>
              <w:jc w:val="center"/>
              <w:rPr>
                <w:rFonts w:eastAsia="Times New Roman" w:cs="Times New Roman"/>
                <w:b/>
                <w:szCs w:val="28"/>
                <w:lang w:val="nl-NL"/>
              </w:rPr>
            </w:pPr>
            <w:r w:rsidRPr="001D6382">
              <w:rPr>
                <w:rFonts w:eastAsia="Times New Roman" w:cs="Times New Roman"/>
                <w:i/>
                <w:szCs w:val="28"/>
                <w:lang w:val="nl-NL"/>
              </w:rPr>
              <w:t xml:space="preserve">Hà Tĩnh, ngày </w:t>
            </w:r>
            <w:r>
              <w:rPr>
                <w:rFonts w:eastAsia="Times New Roman" w:cs="Times New Roman"/>
                <w:i/>
                <w:szCs w:val="28"/>
                <w:lang w:val="nl-NL"/>
              </w:rPr>
              <w:t>14</w:t>
            </w:r>
            <w:r w:rsidRPr="001D6382">
              <w:rPr>
                <w:rFonts w:eastAsia="Times New Roman" w:cs="Times New Roman"/>
                <w:i/>
                <w:szCs w:val="28"/>
                <w:lang w:val="nl-NL"/>
              </w:rPr>
              <w:t xml:space="preserve"> tháng </w:t>
            </w:r>
            <w:r>
              <w:rPr>
                <w:rFonts w:eastAsia="Times New Roman" w:cs="Times New Roman"/>
                <w:i/>
                <w:szCs w:val="28"/>
                <w:lang w:val="nl-NL"/>
              </w:rPr>
              <w:t>5</w:t>
            </w:r>
            <w:r w:rsidRPr="001D6382">
              <w:rPr>
                <w:rFonts w:eastAsia="Times New Roman" w:cs="Times New Roman"/>
                <w:i/>
                <w:szCs w:val="28"/>
                <w:lang w:val="nl-NL"/>
              </w:rPr>
              <w:t xml:space="preserve"> năm 202</w:t>
            </w:r>
            <w:r>
              <w:rPr>
                <w:rFonts w:eastAsia="Times New Roman" w:cs="Times New Roman"/>
                <w:i/>
                <w:szCs w:val="28"/>
                <w:lang w:val="nl-NL"/>
              </w:rPr>
              <w:t>5</w:t>
            </w:r>
          </w:p>
        </w:tc>
      </w:tr>
    </w:tbl>
    <w:p w:rsidR="001D6382" w:rsidRPr="001D6382" w:rsidRDefault="001D6382" w:rsidP="00A57185">
      <w:pPr>
        <w:spacing w:before="0" w:after="0"/>
        <w:jc w:val="center"/>
        <w:rPr>
          <w:b/>
          <w:sz w:val="36"/>
          <w:szCs w:val="36"/>
        </w:rPr>
      </w:pPr>
    </w:p>
    <w:p w:rsidR="001D6382" w:rsidRDefault="001D6382" w:rsidP="00A57185">
      <w:pPr>
        <w:spacing w:before="0" w:after="0"/>
        <w:jc w:val="center"/>
        <w:rPr>
          <w:b/>
        </w:rPr>
      </w:pPr>
      <w:r>
        <w:rPr>
          <w:b/>
        </w:rPr>
        <w:t>THAM LUẬN TẠI HỘI THẢO</w:t>
      </w:r>
    </w:p>
    <w:p w:rsidR="00BD03B7" w:rsidRPr="00BD03B7" w:rsidRDefault="001D6382" w:rsidP="00A57185">
      <w:pPr>
        <w:spacing w:before="0" w:after="0"/>
        <w:jc w:val="center"/>
        <w:rPr>
          <w:b/>
          <w:lang w:val="vi-VN"/>
        </w:rPr>
      </w:pPr>
      <w:r>
        <w:rPr>
          <w:b/>
        </w:rPr>
        <w:t>LẤY</w:t>
      </w:r>
      <w:r w:rsidR="00BD03B7" w:rsidRPr="00BD03B7">
        <w:rPr>
          <w:b/>
          <w:lang w:val="vi-VN"/>
        </w:rPr>
        <w:t xml:space="preserve"> Ý KIẾN ĐỐI VỚI DỰ THẢO NGHỊ QUYẾT SỬA ĐỔI, BỔ SUNG</w:t>
      </w:r>
    </w:p>
    <w:p w:rsidR="00A14CB0" w:rsidRDefault="00BD03B7" w:rsidP="00A57185">
      <w:pPr>
        <w:spacing w:before="0" w:after="0"/>
        <w:jc w:val="center"/>
        <w:rPr>
          <w:b/>
          <w:lang w:val="vi-VN"/>
        </w:rPr>
      </w:pPr>
      <w:r w:rsidRPr="00BD03B7">
        <w:rPr>
          <w:b/>
          <w:lang w:val="vi-VN"/>
        </w:rPr>
        <w:t>MỘT SỐ ĐIỀU CỦA HIẾN PHÁP 2013</w:t>
      </w:r>
    </w:p>
    <w:p w:rsidR="0063719E" w:rsidRDefault="0063719E" w:rsidP="00BD03B7">
      <w:pPr>
        <w:jc w:val="center"/>
        <w:rPr>
          <w:b/>
          <w:lang w:val="vi-VN"/>
        </w:rPr>
      </w:pPr>
    </w:p>
    <w:p w:rsidR="00A57185" w:rsidRDefault="00A57185" w:rsidP="0063719E">
      <w:pPr>
        <w:jc w:val="both"/>
        <w:rPr>
          <w:lang w:val="vi-VN"/>
        </w:rPr>
      </w:pPr>
      <w:r>
        <w:rPr>
          <w:lang w:val="vi-VN"/>
        </w:rPr>
        <w:tab/>
      </w:r>
      <w:r w:rsidR="00CC4425">
        <w:rPr>
          <w:lang w:val="vi-VN"/>
        </w:rPr>
        <w:t xml:space="preserve">Nhằm thể chế hóa </w:t>
      </w:r>
      <w:r w:rsidR="00CC4425" w:rsidRPr="00CC4425">
        <w:rPr>
          <w:lang w:val="vi-VN"/>
        </w:rPr>
        <w:t xml:space="preserve">chủ trương của Đảng về tiếp </w:t>
      </w:r>
      <w:bookmarkStart w:id="0" w:name="_GoBack"/>
      <w:bookmarkEnd w:id="0"/>
      <w:r w:rsidR="00CC4425" w:rsidRPr="00CC4425">
        <w:rPr>
          <w:lang w:val="vi-VN"/>
        </w:rPr>
        <w:t>tục đổi mới, sắp xếp tổ chức bộ máy của hệ thống chính trị</w:t>
      </w:r>
      <w:r w:rsidR="00CC4425">
        <w:rPr>
          <w:lang w:val="vi-VN"/>
        </w:rPr>
        <w:t>,</w:t>
      </w:r>
      <w:r w:rsidR="00C063AD">
        <w:rPr>
          <w:lang w:val="vi-VN"/>
        </w:rPr>
        <w:t xml:space="preserve"> việc sửa đổi Hiến pháp 2013 trong thời điểm này là hết sức cần thiết và phù hợp với tình hình thực tiễn. D</w:t>
      </w:r>
      <w:r>
        <w:rPr>
          <w:lang w:val="vi-VN"/>
        </w:rPr>
        <w:t xml:space="preserve">ự thảo </w:t>
      </w:r>
      <w:r w:rsidRPr="00A57185">
        <w:rPr>
          <w:lang w:val="vi-VN"/>
        </w:rPr>
        <w:t>Nghị quyết sửa đổi</w:t>
      </w:r>
      <w:r>
        <w:rPr>
          <w:lang w:val="vi-VN"/>
        </w:rPr>
        <w:t>, bổ sung một số điều của</w:t>
      </w:r>
      <w:r w:rsidRPr="00A57185">
        <w:rPr>
          <w:lang w:val="vi-VN"/>
        </w:rPr>
        <w:t xml:space="preserve"> Hiến pháp năm 2013 tập trung vào việc </w:t>
      </w:r>
      <w:r w:rsidR="00AC5F12" w:rsidRPr="00AC5F12">
        <w:rPr>
          <w:lang w:val="vi-VN"/>
        </w:rPr>
        <w:t>đổi mới, sắp xếp tổ chức bộ máy của hệ thống chính trị tinh gọn, hoạt động hiệu lực, hiệu quả, tạo cơ sở pháp lý thực hiện mô hình chính quyền địa phương 2 cấp</w:t>
      </w:r>
      <w:r w:rsidR="00C063AD">
        <w:rPr>
          <w:lang w:val="vi-VN"/>
        </w:rPr>
        <w:t>;</w:t>
      </w:r>
      <w:r w:rsidRPr="00A57185">
        <w:rPr>
          <w:lang w:val="vi-VN"/>
        </w:rPr>
        <w:t xml:space="preserve"> </w:t>
      </w:r>
      <w:r w:rsidR="00C063AD">
        <w:rPr>
          <w:lang w:val="vi-VN"/>
        </w:rPr>
        <w:t>t</w:t>
      </w:r>
      <w:r w:rsidRPr="00A57185">
        <w:rPr>
          <w:lang w:val="vi-VN"/>
        </w:rPr>
        <w:t>ăng cường vai trò của nhân dân, đảm bảo quyền làm chủ, nâng cao chất lượng giám sát và phản biện xã hội</w:t>
      </w:r>
      <w:r w:rsidR="00C063AD">
        <w:rPr>
          <w:lang w:val="vi-VN"/>
        </w:rPr>
        <w:t>;</w:t>
      </w:r>
      <w:r w:rsidRPr="00A57185">
        <w:rPr>
          <w:lang w:val="vi-VN"/>
        </w:rPr>
        <w:t xml:space="preserve"> </w:t>
      </w:r>
      <w:r w:rsidR="00C063AD">
        <w:rPr>
          <w:lang w:val="vi-VN"/>
        </w:rPr>
        <w:t>đ</w:t>
      </w:r>
      <w:r w:rsidRPr="00A57185">
        <w:rPr>
          <w:lang w:val="vi-VN"/>
        </w:rPr>
        <w:t>ổi mới quản lý địa phương, phù hợp với yêu cầu phát triển của đất nước.</w:t>
      </w:r>
    </w:p>
    <w:p w:rsidR="00B97AE6" w:rsidRDefault="00EC23F3" w:rsidP="0063719E">
      <w:pPr>
        <w:jc w:val="both"/>
        <w:rPr>
          <w:lang w:val="vi-VN"/>
        </w:rPr>
      </w:pPr>
      <w:r>
        <w:rPr>
          <w:lang w:val="vi-VN"/>
        </w:rPr>
        <w:tab/>
        <w:t>Tòa án nhân dân tỉnh Hà Tĩnh đã</w:t>
      </w:r>
      <w:r w:rsidR="007138E0" w:rsidRPr="007138E0">
        <w:t xml:space="preserve"> </w:t>
      </w:r>
      <w:r>
        <w:rPr>
          <w:lang w:val="vi-VN"/>
        </w:rPr>
        <w:t xml:space="preserve">triển khai </w:t>
      </w:r>
      <w:r w:rsidR="007138E0" w:rsidRPr="007138E0">
        <w:t xml:space="preserve">tuyên truyền sâu rộng trong </w:t>
      </w:r>
      <w:r>
        <w:rPr>
          <w:lang w:val="vi-VN"/>
        </w:rPr>
        <w:t>cán bộ, công chức, người lao động</w:t>
      </w:r>
      <w:r w:rsidR="007138E0" w:rsidRPr="007138E0">
        <w:t xml:space="preserve"> về mục đích, ý nghĩa, phạm vi, nội dung sửa đổi, bổ sung một số điều của Hiến pháp năm 2013; </w:t>
      </w:r>
      <w:r>
        <w:rPr>
          <w:lang w:val="vi-VN"/>
        </w:rPr>
        <w:t>sao gửi tài liệu, đăng tải trên Trang Thông tin điện tử Tòa án nhân dân tỉnh</w:t>
      </w:r>
      <w:r w:rsidR="00AC5F12">
        <w:rPr>
          <w:lang w:val="vi-VN"/>
        </w:rPr>
        <w:t xml:space="preserve">. Chỉ đạo các Tòa, phòng, Tòa án nhân dân cấp huyện tổ chức lấy ý kiến trong cán bộ, công chức đơn vị, </w:t>
      </w:r>
      <w:r w:rsidR="007138E0" w:rsidRPr="007138E0">
        <w:t>đảm bảo phát huy dân chủ, thực chất;</w:t>
      </w:r>
      <w:r w:rsidR="008345C1">
        <w:rPr>
          <w:lang w:val="vi-VN"/>
        </w:rPr>
        <w:t xml:space="preserve"> </w:t>
      </w:r>
      <w:r w:rsidR="00AC5F12">
        <w:rPr>
          <w:lang w:val="vi-VN"/>
        </w:rPr>
        <w:t>tổng hợp các ý kiến góp ý</w:t>
      </w:r>
      <w:r w:rsidR="004943FB">
        <w:rPr>
          <w:lang w:val="vi-VN"/>
        </w:rPr>
        <w:t xml:space="preserve"> một cách khách quan, đầy đủ</w:t>
      </w:r>
      <w:r w:rsidR="007138E0" w:rsidRPr="007138E0">
        <w:t>.</w:t>
      </w:r>
    </w:p>
    <w:p w:rsidR="004943FB" w:rsidRDefault="004943FB" w:rsidP="0063719E">
      <w:pPr>
        <w:jc w:val="both"/>
        <w:rPr>
          <w:lang w:val="vi-VN"/>
        </w:rPr>
      </w:pPr>
      <w:r>
        <w:rPr>
          <w:lang w:val="vi-VN"/>
        </w:rPr>
        <w:tab/>
      </w:r>
      <w:r w:rsidR="008E50D4">
        <w:rPr>
          <w:lang w:val="vi-VN"/>
        </w:rPr>
        <w:t xml:space="preserve">Trước hết, Tòa án nhân dân tỉnh </w:t>
      </w:r>
      <w:r w:rsidR="00563082">
        <w:rPr>
          <w:lang w:val="vi-VN"/>
        </w:rPr>
        <w:t xml:space="preserve">cơ bản </w:t>
      </w:r>
      <w:r w:rsidR="008E50D4" w:rsidRPr="008E50D4">
        <w:rPr>
          <w:lang w:val="vi-VN"/>
        </w:rPr>
        <w:t>đồng tình, thống nhất về phạm vi cũng như nội dung sửa đổi Hiến pháp năm 2013</w:t>
      </w:r>
      <w:r w:rsidR="004F7F8B">
        <w:rPr>
          <w:lang w:val="vi-VN"/>
        </w:rPr>
        <w:t xml:space="preserve">. </w:t>
      </w:r>
      <w:r>
        <w:rPr>
          <w:lang w:val="vi-VN"/>
        </w:rPr>
        <w:t>Tại Hội nghị này, Tòa án nhân dân tỉ</w:t>
      </w:r>
      <w:r w:rsidR="00563082">
        <w:rPr>
          <w:lang w:val="vi-VN"/>
        </w:rPr>
        <w:t>nh xin có ý kiến</w:t>
      </w:r>
      <w:r>
        <w:rPr>
          <w:lang w:val="vi-VN"/>
        </w:rPr>
        <w:t xml:space="preserve"> một số nội dung sau:</w:t>
      </w:r>
    </w:p>
    <w:p w:rsidR="00BC3931" w:rsidRPr="00BC3931" w:rsidRDefault="00BC3931" w:rsidP="0063719E">
      <w:pPr>
        <w:jc w:val="both"/>
        <w:rPr>
          <w:b/>
          <w:lang w:val="vi-VN"/>
        </w:rPr>
      </w:pPr>
      <w:r>
        <w:rPr>
          <w:lang w:val="vi-VN"/>
        </w:rPr>
        <w:tab/>
      </w:r>
      <w:r w:rsidRPr="00BC3931">
        <w:rPr>
          <w:b/>
          <w:lang w:val="vi-VN"/>
        </w:rPr>
        <w:t>1. Tại Khoản 1 dự thảo Nghị quyết:</w:t>
      </w:r>
    </w:p>
    <w:p w:rsidR="004943FB" w:rsidRPr="007C6F6D" w:rsidRDefault="004943FB" w:rsidP="0063719E">
      <w:pPr>
        <w:jc w:val="both"/>
        <w:rPr>
          <w:i/>
          <w:lang w:val="vi-VN"/>
        </w:rPr>
      </w:pPr>
      <w:r>
        <w:rPr>
          <w:lang w:val="vi-VN"/>
        </w:rPr>
        <w:tab/>
      </w:r>
      <w:r w:rsidRPr="007C6F6D">
        <w:rPr>
          <w:i/>
          <w:lang w:val="vi-VN"/>
        </w:rPr>
        <w:t>- Đối với việc sửa đổi, bổ sung quy định về Mặt trận Tổ quốc Việt Nam và các tổ chức chính trị - xã hội (Điều 9 của Hiến pháp năm 2013)</w:t>
      </w:r>
    </w:p>
    <w:p w:rsidR="0063719E" w:rsidRPr="007C6F6D" w:rsidRDefault="008E50D4" w:rsidP="0063719E">
      <w:pPr>
        <w:jc w:val="both"/>
        <w:rPr>
          <w:lang w:val="vi-VN"/>
        </w:rPr>
      </w:pPr>
      <w:r>
        <w:rPr>
          <w:b/>
          <w:lang w:val="vi-VN"/>
        </w:rPr>
        <w:tab/>
      </w:r>
      <w:r w:rsidRPr="007C6F6D">
        <w:rPr>
          <w:lang w:val="vi-VN"/>
        </w:rPr>
        <w:t xml:space="preserve">Thực tế trong thời gian </w:t>
      </w:r>
      <w:r w:rsidR="007C6F6D" w:rsidRPr="007C6F6D">
        <w:rPr>
          <w:lang w:val="vi-VN"/>
        </w:rPr>
        <w:t xml:space="preserve">qua </w:t>
      </w:r>
      <w:r w:rsidRPr="007C6F6D">
        <w:rPr>
          <w:lang w:val="vi-VN"/>
        </w:rPr>
        <w:t xml:space="preserve">có rất nhiều </w:t>
      </w:r>
      <w:r w:rsidR="007C6F6D" w:rsidRPr="007C6F6D">
        <w:rPr>
          <w:lang w:val="vi-VN"/>
        </w:rPr>
        <w:t>hoạt động</w:t>
      </w:r>
      <w:r w:rsidRPr="007C6F6D">
        <w:rPr>
          <w:lang w:val="vi-VN"/>
        </w:rPr>
        <w:t xml:space="preserve"> mà Mặt trận Tổ quốc và các tổ chức chính trị xã hội có sự trùng lặp, ảnh hưởng đến hiệu năng. </w:t>
      </w:r>
      <w:r w:rsidR="007C6F6D" w:rsidRPr="007C6F6D">
        <w:rPr>
          <w:lang w:val="vi-VN"/>
        </w:rPr>
        <w:t>Do vậy, v</w:t>
      </w:r>
      <w:r w:rsidRPr="007C6F6D">
        <w:rPr>
          <w:lang w:val="vi-VN"/>
        </w:rPr>
        <w:t>iệc sửa đổi này có</w:t>
      </w:r>
      <w:r w:rsidR="007138E0" w:rsidRPr="007C6F6D">
        <w:rPr>
          <w:lang w:val="vi-VN"/>
        </w:rPr>
        <w:t xml:space="preserve"> ý nghĩa quan trọng,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w:t>
      </w:r>
    </w:p>
    <w:p w:rsidR="004F7F8B" w:rsidRDefault="00563082" w:rsidP="00563082">
      <w:pPr>
        <w:jc w:val="both"/>
      </w:pPr>
      <w:r>
        <w:rPr>
          <w:b/>
          <w:lang w:val="vi-VN"/>
        </w:rPr>
        <w:tab/>
      </w:r>
      <w:r w:rsidRPr="00034926">
        <w:rPr>
          <w:lang w:val="vi-VN"/>
        </w:rPr>
        <w:t xml:space="preserve">Tuy nhiên, đề nghị </w:t>
      </w:r>
      <w:r w:rsidR="004F7F8B" w:rsidRPr="00034926">
        <w:rPr>
          <w:lang w:val="vi-VN"/>
        </w:rPr>
        <w:t xml:space="preserve">khi sửa đổi Hiến pháp </w:t>
      </w:r>
      <w:r w:rsidRPr="00034926">
        <w:rPr>
          <w:lang w:val="vi-VN"/>
        </w:rPr>
        <w:t xml:space="preserve">thì tới đây cũng sẽ </w:t>
      </w:r>
      <w:r w:rsidR="00034926" w:rsidRPr="00034926">
        <w:rPr>
          <w:lang w:val="vi-VN"/>
        </w:rPr>
        <w:t xml:space="preserve">tiếp tục </w:t>
      </w:r>
      <w:r w:rsidRPr="00034926">
        <w:rPr>
          <w:lang w:val="vi-VN"/>
        </w:rPr>
        <w:t xml:space="preserve">sửa đổi </w:t>
      </w:r>
      <w:r w:rsidR="00034926" w:rsidRPr="00034926">
        <w:rPr>
          <w:lang w:val="vi-VN"/>
        </w:rPr>
        <w:t xml:space="preserve">những nội dung liên quan trong </w:t>
      </w:r>
      <w:r w:rsidRPr="00034926">
        <w:rPr>
          <w:lang w:val="vi-VN"/>
        </w:rPr>
        <w:t>Luật Mặt trận Tổ quốc Việt Nam, Luật Công đoàn, Luật Thanh niên</w:t>
      </w:r>
      <w:r w:rsidR="00034926" w:rsidRPr="00034926">
        <w:rPr>
          <w:lang w:val="vi-VN"/>
        </w:rPr>
        <w:t>... để đảm bảo phù hợp, thống nhất.</w:t>
      </w:r>
      <w:r w:rsidR="004F7F8B" w:rsidRPr="00034926">
        <w:rPr>
          <w:lang w:val="vi-VN"/>
        </w:rPr>
        <w:t xml:space="preserve"> </w:t>
      </w:r>
    </w:p>
    <w:p w:rsidR="003A2AF3" w:rsidRPr="003A2AF3" w:rsidRDefault="003A2AF3" w:rsidP="00563082">
      <w:pPr>
        <w:jc w:val="both"/>
      </w:pPr>
      <w:r>
        <w:lastRenderedPageBreak/>
        <w:tab/>
        <w:t>Tại khoản 3 Điều 9, đề nghị sửa nội dung “</w:t>
      </w:r>
      <w:r w:rsidRPr="003A2AF3">
        <w:t>Nhà nước tạo điều kiện để Mặt trận Tổ quốc Việt Nam, các tổ chức thành viên của Mặt trận và các tổ chức xã hội khác hoạt độ</w:t>
      </w:r>
      <w:r>
        <w:t xml:space="preserve">ng” thành </w:t>
      </w:r>
      <w:r w:rsidRPr="00AC6818">
        <w:rPr>
          <w:i/>
        </w:rPr>
        <w:t>“Nhà nước đảm bảo cho Mặt trận Tổ quốc Việt Nam, các tổ chức thành viên của Mặt trận và các tổ chức xã hộ</w:t>
      </w:r>
      <w:r w:rsidR="00AC6818" w:rsidRPr="00AC6818">
        <w:rPr>
          <w:i/>
        </w:rPr>
        <w:t>i khác hoạt động trong khuôn khổ Hiến pháp và pháp luật</w:t>
      </w:r>
      <w:r w:rsidRPr="00AC6818">
        <w:rPr>
          <w:i/>
        </w:rPr>
        <w:t>”</w:t>
      </w:r>
      <w:r w:rsidR="00AC6818">
        <w:t>.</w:t>
      </w:r>
    </w:p>
    <w:p w:rsidR="00034926" w:rsidRDefault="00034926" w:rsidP="00563082">
      <w:pPr>
        <w:jc w:val="both"/>
        <w:rPr>
          <w:i/>
          <w:lang w:val="vi-VN"/>
        </w:rPr>
      </w:pPr>
      <w:r>
        <w:rPr>
          <w:lang w:val="vi-VN"/>
        </w:rPr>
        <w:tab/>
      </w:r>
      <w:r w:rsidR="0074336C" w:rsidRPr="00D700CF">
        <w:rPr>
          <w:i/>
          <w:lang w:val="vi-VN"/>
        </w:rPr>
        <w:t xml:space="preserve">- </w:t>
      </w:r>
      <w:r w:rsidR="00D700CF" w:rsidRPr="00D700CF">
        <w:rPr>
          <w:i/>
          <w:lang w:val="vi-VN"/>
        </w:rPr>
        <w:t>Đối với việc sửa đổi, bổ sung quy định về tổ chức đơn vị hành chính (Điều 110 của Hiến pháp năm 2013)</w:t>
      </w:r>
    </w:p>
    <w:p w:rsidR="009C16F5" w:rsidRDefault="009C16F5" w:rsidP="00563082">
      <w:pPr>
        <w:jc w:val="both"/>
        <w:rPr>
          <w:color w:val="000000"/>
          <w:lang w:val="vi-VN"/>
        </w:rPr>
      </w:pPr>
      <w:r>
        <w:rPr>
          <w:i/>
          <w:lang w:val="vi-VN"/>
        </w:rPr>
        <w:tab/>
      </w:r>
      <w:r w:rsidRPr="00C8301F">
        <w:rPr>
          <w:bCs/>
          <w:iCs/>
          <w:szCs w:val="28"/>
          <w:lang w:val="fr-FR"/>
        </w:rPr>
        <w:t>Nghị quyết số 60-NQ/TW ngày</w:t>
      </w:r>
      <w:r>
        <w:rPr>
          <w:bCs/>
          <w:iCs/>
          <w:szCs w:val="28"/>
          <w:lang w:val="fr-FR"/>
        </w:rPr>
        <w:t xml:space="preserve"> </w:t>
      </w:r>
      <w:r w:rsidRPr="00C8301F">
        <w:rPr>
          <w:bCs/>
          <w:iCs/>
          <w:szCs w:val="28"/>
          <w:lang w:val="fr-FR"/>
        </w:rPr>
        <w:t xml:space="preserve">12/4/2025 Hội nghị lần thứ 11 Ban Chấp hành Trung ương Đảng khóa XIII </w:t>
      </w:r>
      <w:r>
        <w:rPr>
          <w:bCs/>
          <w:iCs/>
          <w:szCs w:val="28"/>
          <w:lang w:val="vi-VN"/>
        </w:rPr>
        <w:t xml:space="preserve">quy định </w:t>
      </w:r>
      <w:r>
        <w:rPr>
          <w:bCs/>
          <w:iCs/>
          <w:szCs w:val="28"/>
          <w:lang w:val="fr-FR"/>
        </w:rPr>
        <w:t>về</w:t>
      </w:r>
      <w:r w:rsidRPr="00EA665F">
        <w:rPr>
          <w:color w:val="000000"/>
          <w:spacing w:val="4"/>
          <w:szCs w:val="28"/>
        </w:rPr>
        <w:t xml:space="preserve"> tổ chức chính quyền địa phương </w:t>
      </w:r>
      <w:r>
        <w:rPr>
          <w:color w:val="000000"/>
          <w:spacing w:val="4"/>
          <w:szCs w:val="28"/>
        </w:rPr>
        <w:t>0</w:t>
      </w:r>
      <w:r w:rsidRPr="00EA665F">
        <w:rPr>
          <w:color w:val="000000"/>
          <w:spacing w:val="4"/>
          <w:szCs w:val="28"/>
        </w:rPr>
        <w:t>2 cấp</w:t>
      </w:r>
      <w:r>
        <w:rPr>
          <w:color w:val="000000"/>
          <w:spacing w:val="4"/>
          <w:szCs w:val="28"/>
        </w:rPr>
        <w:t xml:space="preserve"> và </w:t>
      </w:r>
      <w:r w:rsidRPr="00EA665F">
        <w:rPr>
          <w:color w:val="000000"/>
          <w:spacing w:val="4"/>
          <w:szCs w:val="28"/>
        </w:rPr>
        <w:t>kết thúc hoạt động của đơn vị hành chính cấp huyện từ ngày 01/7/2025</w:t>
      </w:r>
      <w:r w:rsidRPr="00AD4593">
        <w:rPr>
          <w:color w:val="000000"/>
          <w:spacing w:val="4"/>
          <w:szCs w:val="28"/>
        </w:rPr>
        <w:t>,</w:t>
      </w:r>
      <w:r>
        <w:rPr>
          <w:color w:val="000000"/>
          <w:lang w:val="pt-BR"/>
        </w:rPr>
        <w:t xml:space="preserve"> </w:t>
      </w:r>
      <w:r>
        <w:rPr>
          <w:color w:val="000000"/>
          <w:lang w:val="vi-VN"/>
        </w:rPr>
        <w:t>do đó, việc</w:t>
      </w:r>
      <w:r>
        <w:rPr>
          <w:color w:val="000000"/>
          <w:lang w:val="pt-BR"/>
        </w:rPr>
        <w:t xml:space="preserve"> sửa đổi, bổ sung Điều 110 của Hiến pháp năm 2013 </w:t>
      </w:r>
      <w:r w:rsidRPr="00DC0641">
        <w:rPr>
          <w:color w:val="000000"/>
          <w:lang w:val="pt-BR"/>
        </w:rPr>
        <w:t xml:space="preserve">theo hướng </w:t>
      </w:r>
      <w:r>
        <w:rPr>
          <w:color w:val="000000"/>
          <w:lang w:val="pt-BR"/>
        </w:rPr>
        <w:t>quy định mô hình địa phương 02 cấp</w:t>
      </w:r>
      <w:r w:rsidR="002659F2">
        <w:rPr>
          <w:color w:val="000000"/>
          <w:lang w:val="vi-VN"/>
        </w:rPr>
        <w:t xml:space="preserve"> </w:t>
      </w:r>
      <w:r w:rsidR="00320DD9">
        <w:rPr>
          <w:color w:val="000000"/>
          <w:lang w:val="vi-VN"/>
        </w:rPr>
        <w:t xml:space="preserve">là </w:t>
      </w:r>
      <w:r w:rsidR="00EB7C57">
        <w:rPr>
          <w:color w:val="000000"/>
          <w:lang w:val="vi-VN"/>
        </w:rPr>
        <w:t>phù hợp chủ trương của Đảng về sắp xếp, tinh gọn bộ</w:t>
      </w:r>
      <w:r w:rsidR="00320DD9">
        <w:rPr>
          <w:color w:val="000000"/>
          <w:lang w:val="vi-VN"/>
        </w:rPr>
        <w:t xml:space="preserve"> máy</w:t>
      </w:r>
      <w:r w:rsidR="00061477" w:rsidRPr="00061477">
        <w:rPr>
          <w:color w:val="000000"/>
          <w:lang w:val="vi-VN"/>
        </w:rPr>
        <w:t>.</w:t>
      </w:r>
    </w:p>
    <w:p w:rsidR="00940FA4" w:rsidRDefault="00320DD9" w:rsidP="00563082">
      <w:pPr>
        <w:jc w:val="both"/>
        <w:rPr>
          <w:color w:val="000000"/>
          <w:lang w:val="vi-VN"/>
        </w:rPr>
      </w:pPr>
      <w:r>
        <w:rPr>
          <w:color w:val="000000"/>
          <w:lang w:val="vi-VN"/>
        </w:rPr>
        <w:tab/>
        <w:t xml:space="preserve">Tuy nhiên, </w:t>
      </w:r>
      <w:r w:rsidR="00940FA4" w:rsidRPr="00940FA4">
        <w:rPr>
          <w:color w:val="000000"/>
          <w:lang w:val="vi-VN"/>
        </w:rPr>
        <w:t>đề nghị làm rõ hơn nội dung “</w:t>
      </w:r>
      <w:r>
        <w:rPr>
          <w:color w:val="000000"/>
          <w:lang w:val="vi-VN"/>
        </w:rPr>
        <w:t>đơn vị hành chính</w:t>
      </w:r>
      <w:r w:rsidR="00940FA4" w:rsidRPr="00940FA4">
        <w:rPr>
          <w:color w:val="000000"/>
          <w:lang w:val="vi-VN"/>
        </w:rPr>
        <w:t xml:space="preserve"> dưới tỉnh, </w:t>
      </w:r>
      <w:r>
        <w:rPr>
          <w:color w:val="000000"/>
          <w:lang w:val="vi-VN"/>
        </w:rPr>
        <w:t>thành phố</w:t>
      </w:r>
      <w:r w:rsidR="00940FA4" w:rsidRPr="00940FA4">
        <w:rPr>
          <w:color w:val="000000"/>
          <w:lang w:val="vi-VN"/>
        </w:rPr>
        <w:t xml:space="preserve"> trực thuộc trung ương”</w:t>
      </w:r>
      <w:r>
        <w:rPr>
          <w:color w:val="000000"/>
          <w:lang w:val="vi-VN"/>
        </w:rPr>
        <w:t xml:space="preserve">, </w:t>
      </w:r>
      <w:r w:rsidR="000F2C4D">
        <w:rPr>
          <w:color w:val="000000"/>
          <w:lang w:val="vi-VN"/>
        </w:rPr>
        <w:t xml:space="preserve">tức là </w:t>
      </w:r>
      <w:r>
        <w:rPr>
          <w:color w:val="000000"/>
          <w:lang w:val="vi-VN"/>
        </w:rPr>
        <w:t xml:space="preserve">quy định cụ thể </w:t>
      </w:r>
      <w:r w:rsidR="000F2C4D">
        <w:rPr>
          <w:color w:val="000000"/>
          <w:lang w:val="vi-VN"/>
        </w:rPr>
        <w:t>“</w:t>
      </w:r>
      <w:r w:rsidR="000F2C4D" w:rsidRPr="000F2C4D">
        <w:rPr>
          <w:color w:val="000000"/>
          <w:lang w:val="vi-VN"/>
        </w:rPr>
        <w:t xml:space="preserve">Các đơn vị hành chính của nước Cộng hòa xã hội chủ nghĩa Việt Nam gồm tỉnh, thành phố trực thuộc trung ương </w:t>
      </w:r>
      <w:r w:rsidR="000F2C4D">
        <w:rPr>
          <w:color w:val="000000"/>
          <w:lang w:val="vi-VN"/>
        </w:rPr>
        <w:t xml:space="preserve">và các </w:t>
      </w:r>
      <w:r>
        <w:rPr>
          <w:color w:val="000000"/>
          <w:lang w:val="vi-VN"/>
        </w:rPr>
        <w:t>đơn hành hành chính</w:t>
      </w:r>
      <w:r w:rsidR="00940FA4" w:rsidRPr="00940FA4">
        <w:rPr>
          <w:color w:val="000000"/>
          <w:lang w:val="vi-VN"/>
        </w:rPr>
        <w:t xml:space="preserve"> cấp xã và tương đương</w:t>
      </w:r>
      <w:r w:rsidR="000F2C4D">
        <w:rPr>
          <w:color w:val="000000"/>
          <w:lang w:val="vi-VN"/>
        </w:rPr>
        <w:t>”</w:t>
      </w:r>
      <w:r w:rsidR="00940FA4" w:rsidRPr="00940FA4">
        <w:rPr>
          <w:color w:val="000000"/>
          <w:lang w:val="vi-VN"/>
        </w:rPr>
        <w:t xml:space="preserve"> </w:t>
      </w:r>
      <w:r w:rsidR="000F2C4D">
        <w:rPr>
          <w:color w:val="000000"/>
          <w:lang w:val="vi-VN"/>
        </w:rPr>
        <w:t>để đảm bảo thể hiện rõ chủ trương của Đảng trong giai đoạn này.</w:t>
      </w:r>
    </w:p>
    <w:p w:rsidR="00593441" w:rsidRDefault="00061477" w:rsidP="00563082">
      <w:pPr>
        <w:jc w:val="both"/>
        <w:rPr>
          <w:i/>
          <w:color w:val="000000"/>
          <w:lang w:val="vi-VN"/>
        </w:rPr>
      </w:pPr>
      <w:r>
        <w:rPr>
          <w:color w:val="000000"/>
          <w:lang w:val="vi-VN"/>
        </w:rPr>
        <w:tab/>
      </w:r>
      <w:r w:rsidR="00593441" w:rsidRPr="00FD5B3D">
        <w:rPr>
          <w:i/>
          <w:color w:val="000000"/>
          <w:lang w:val="vi-VN"/>
        </w:rPr>
        <w:t xml:space="preserve">- Đối với khoản 2 Điều 115: </w:t>
      </w:r>
    </w:p>
    <w:p w:rsidR="00166C3B" w:rsidRDefault="00FD5B3D" w:rsidP="005E0E0C">
      <w:pPr>
        <w:jc w:val="both"/>
        <w:rPr>
          <w:color w:val="000000"/>
          <w:lang w:val="vi-VN"/>
        </w:rPr>
      </w:pPr>
      <w:r>
        <w:rPr>
          <w:i/>
          <w:color w:val="000000"/>
          <w:lang w:val="vi-VN"/>
        </w:rPr>
        <w:tab/>
      </w:r>
      <w:r>
        <w:rPr>
          <w:color w:val="000000"/>
          <w:lang w:val="vi-VN"/>
        </w:rPr>
        <w:t xml:space="preserve">Hoàn toàn nhất trí với việc dự thảo Nghị quyết </w:t>
      </w:r>
      <w:r w:rsidRPr="00FD5B3D">
        <w:rPr>
          <w:color w:val="000000"/>
          <w:lang w:val="vi-VN"/>
        </w:rPr>
        <w:t xml:space="preserve">không quy định Chánh án Toà án nhân dân, Viện trưởng Viện kiểm sát nhân dân thuộc phạm vi đối tượng trả lời chất vấn của đại biểu Hội đồng nhân dân. </w:t>
      </w:r>
      <w:r w:rsidR="005E0E0C">
        <w:rPr>
          <w:color w:val="000000"/>
          <w:lang w:val="vi-VN"/>
        </w:rPr>
        <w:t>Bởi vì s</w:t>
      </w:r>
      <w:r w:rsidR="005E0E0C" w:rsidRPr="005E0E0C">
        <w:rPr>
          <w:color w:val="000000"/>
          <w:lang w:val="vi-VN"/>
        </w:rPr>
        <w:t>ắp tới, theo chủ trương của Đảng về kết thúc hoạt động của đơn vị hành chính cấp huyện, sẽ không tổ chức Tòa án nhân dân và Viện Kiểm sát nhân dân cấp huyện mà thay thế bằng các Tòa án nhân dân, Viện Kiểm sát nhân dân khu vực không gắn với đơn vị hành chính cụ thể, nên không có HĐND ngang cấp để thực hiện quyền chất vấn.</w:t>
      </w:r>
      <w:r w:rsidR="005E0E0C">
        <w:rPr>
          <w:color w:val="000000"/>
          <w:lang w:val="vi-VN"/>
        </w:rPr>
        <w:t xml:space="preserve"> </w:t>
      </w:r>
      <w:r w:rsidR="00166C3B" w:rsidRPr="00166C3B">
        <w:rPr>
          <w:color w:val="000000"/>
          <w:lang w:val="vi-VN"/>
        </w:rPr>
        <w:t>Hiện nay, ngành Tòa án Hà Tĩnh cũng đang gấp rút hoàn thành các công việc đảm bảo cho việc sắp xếp, tinh gọn bộ máy: kết thúc hoạt động của TAND cấp huyện, thành lập 05 Tòa án nhân dân khu vực từ 12 Tòa án cấp huyện, được giao nhiều thẩm quyền hơn so với Tòa án cấp huyện hiện nay.</w:t>
      </w:r>
      <w:r w:rsidR="00166C3B">
        <w:rPr>
          <w:color w:val="000000"/>
          <w:lang w:val="vi-VN"/>
        </w:rPr>
        <w:t xml:space="preserve"> </w:t>
      </w:r>
    </w:p>
    <w:p w:rsidR="00FD5B3D" w:rsidRDefault="00166C3B" w:rsidP="005E0E0C">
      <w:pPr>
        <w:jc w:val="both"/>
        <w:rPr>
          <w:color w:val="000000"/>
          <w:lang w:val="vi-VN"/>
        </w:rPr>
      </w:pPr>
      <w:r>
        <w:rPr>
          <w:color w:val="000000"/>
          <w:lang w:val="vi-VN"/>
        </w:rPr>
        <w:tab/>
      </w:r>
      <w:r w:rsidR="005E0E0C">
        <w:rPr>
          <w:color w:val="000000"/>
          <w:lang w:val="vi-VN"/>
        </w:rPr>
        <w:t>Mặt khác,</w:t>
      </w:r>
      <w:r w:rsidR="005E0E0C" w:rsidRPr="005E0E0C">
        <w:rPr>
          <w:color w:val="000000"/>
          <w:lang w:val="vi-VN"/>
        </w:rPr>
        <w:t xml:space="preserve"> tuy Hiến pháp không quy định thẩm quyền chất vấn, HĐND vẫn thực hiện được thẩm quyền giám sát việc tuân theo Hiến pháp và pháp luật ở địa phương (bao gồm giám sát hoạt động của Tòa án nhân dân, Viện Kiểm sát nhân dân</w:t>
      </w:r>
      <w:r w:rsidR="005E0E0C">
        <w:rPr>
          <w:color w:val="000000"/>
          <w:lang w:val="vi-VN"/>
        </w:rPr>
        <w:t>,</w:t>
      </w:r>
      <w:r w:rsidR="005E0E0C" w:rsidRPr="005E0E0C">
        <w:rPr>
          <w:color w:val="000000"/>
          <w:lang w:val="vi-VN"/>
        </w:rPr>
        <w:t xml:space="preserve"> các cơ quan nhà nước khác trên địa bàn) và HĐND vẫn có quyền kiến nghị với các cơ quan, tổ chức hữu quan.</w:t>
      </w:r>
    </w:p>
    <w:p w:rsidR="00BC3931" w:rsidRDefault="00BC3931" w:rsidP="005E0E0C">
      <w:pPr>
        <w:jc w:val="both"/>
        <w:rPr>
          <w:b/>
          <w:color w:val="000000"/>
          <w:lang w:val="vi-VN"/>
        </w:rPr>
      </w:pPr>
      <w:r>
        <w:rPr>
          <w:color w:val="000000"/>
          <w:lang w:val="vi-VN"/>
        </w:rPr>
        <w:tab/>
      </w:r>
      <w:r w:rsidRPr="00166C3B">
        <w:rPr>
          <w:b/>
          <w:color w:val="000000"/>
          <w:lang w:val="vi-VN"/>
        </w:rPr>
        <w:t>2.</w:t>
      </w:r>
      <w:r w:rsidR="00166C3B" w:rsidRPr="00166C3B">
        <w:rPr>
          <w:b/>
          <w:color w:val="000000"/>
          <w:lang w:val="vi-VN"/>
        </w:rPr>
        <w:t xml:space="preserve"> Tại Điều 2 dự thảo Nghị quyết:</w:t>
      </w:r>
    </w:p>
    <w:p w:rsidR="00BB2BEE" w:rsidRDefault="00166C3B" w:rsidP="00563082">
      <w:pPr>
        <w:jc w:val="both"/>
        <w:rPr>
          <w:color w:val="000000"/>
          <w:lang w:val="vi-VN"/>
        </w:rPr>
      </w:pPr>
      <w:r>
        <w:rPr>
          <w:b/>
          <w:color w:val="000000"/>
          <w:lang w:val="vi-VN"/>
        </w:rPr>
        <w:tab/>
      </w:r>
      <w:r w:rsidR="00BB2BEE" w:rsidRPr="00BB2BEE">
        <w:rPr>
          <w:color w:val="000000"/>
          <w:lang w:val="vi-VN"/>
        </w:rPr>
        <w:t>Đ</w:t>
      </w:r>
      <w:r w:rsidR="00BB2BEE">
        <w:rPr>
          <w:color w:val="000000"/>
          <w:lang w:val="vi-VN"/>
        </w:rPr>
        <w:t>ố</w:t>
      </w:r>
      <w:r w:rsidR="00BB2BEE" w:rsidRPr="00BB2BEE">
        <w:rPr>
          <w:color w:val="000000"/>
          <w:lang w:val="vi-VN"/>
        </w:rPr>
        <w:t>i với khoản 3 Điều 2</w:t>
      </w:r>
      <w:r w:rsidR="00BB2BEE">
        <w:rPr>
          <w:color w:val="000000"/>
          <w:lang w:val="vi-VN"/>
        </w:rPr>
        <w:t xml:space="preserve">, </w:t>
      </w:r>
      <w:r w:rsidR="00BB2BEE">
        <w:rPr>
          <w:b/>
          <w:color w:val="000000"/>
          <w:lang w:val="vi-VN"/>
        </w:rPr>
        <w:tab/>
      </w:r>
      <w:r w:rsidR="00BB2BEE" w:rsidRPr="00BB2BEE">
        <w:rPr>
          <w:color w:val="000000"/>
          <w:lang w:val="vi-VN"/>
        </w:rPr>
        <w:t>đ</w:t>
      </w:r>
      <w:r w:rsidRPr="00BB2BEE">
        <w:rPr>
          <w:color w:val="000000"/>
          <w:lang w:val="vi-VN"/>
        </w:rPr>
        <w:t xml:space="preserve">ề nghị sửa dự thảo Nghị quyết theo hướng Ủy ban Thường vụ Quốc hội chỉ định đối với Chủ tịch, Phó Chủ tịch HĐND cấp tỉnh; giao Thường trực HĐND cấp tỉnh quyết định </w:t>
      </w:r>
      <w:r w:rsidR="00BB2BEE" w:rsidRPr="00BB2BEE">
        <w:rPr>
          <w:color w:val="000000"/>
          <w:lang w:val="vi-VN"/>
        </w:rPr>
        <w:t xml:space="preserve">chỉ định đối với Trưởng Ban của HĐND cấp tỉnh </w:t>
      </w:r>
      <w:r w:rsidRPr="00BB2BEE">
        <w:rPr>
          <w:color w:val="000000"/>
          <w:lang w:val="vi-VN"/>
        </w:rPr>
        <w:t xml:space="preserve">và chịu trách nhiệm về việc chỉ định </w:t>
      </w:r>
      <w:r w:rsidR="00BB2BEE" w:rsidRPr="00BB2BEE">
        <w:rPr>
          <w:color w:val="000000"/>
          <w:lang w:val="vi-VN"/>
        </w:rPr>
        <w:t>đó</w:t>
      </w:r>
      <w:r w:rsidR="00BB2BEE">
        <w:rPr>
          <w:color w:val="000000"/>
          <w:lang w:val="vi-VN"/>
        </w:rPr>
        <w:t xml:space="preserve"> để đảm bảo sự thuận lợi</w:t>
      </w:r>
      <w:r w:rsidR="00A9388E">
        <w:rPr>
          <w:color w:val="000000"/>
          <w:lang w:val="vi-VN"/>
        </w:rPr>
        <w:t>, nhanh chóng trong công tác nhân sự.</w:t>
      </w:r>
    </w:p>
    <w:p w:rsidR="00A9388E" w:rsidRDefault="00A9388E" w:rsidP="00563082">
      <w:pPr>
        <w:jc w:val="both"/>
        <w:rPr>
          <w:color w:val="000000"/>
          <w:lang w:val="vi-VN"/>
        </w:rPr>
      </w:pPr>
      <w:r>
        <w:rPr>
          <w:color w:val="000000"/>
          <w:lang w:val="vi-VN"/>
        </w:rPr>
        <w:lastRenderedPageBreak/>
        <w:tab/>
        <w:t xml:space="preserve">Đề nghị quy định rõ “trường hợp đặc biệt, </w:t>
      </w:r>
      <w:r w:rsidRPr="00A9388E">
        <w:rPr>
          <w:color w:val="000000"/>
          <w:lang w:val="vi-VN"/>
        </w:rPr>
        <w:t>cho phép chỉ định nhân sự không phải là đại biểu Hội đồng nhân dân giữ các chức danh lãnh đạo Hội đồng nhân dân cấp tỉnh, cấp xã hình thành sau sắp xếp</w:t>
      </w:r>
      <w:r>
        <w:rPr>
          <w:color w:val="000000"/>
          <w:lang w:val="vi-VN"/>
        </w:rPr>
        <w:t>” gồm những trường hợp nào để các địa phương chủ động thực hiện.</w:t>
      </w:r>
    </w:p>
    <w:p w:rsidR="005A0599" w:rsidRPr="00FD5B3D" w:rsidRDefault="00A9388E" w:rsidP="00563082">
      <w:pPr>
        <w:jc w:val="both"/>
        <w:rPr>
          <w:lang w:val="vi-VN"/>
        </w:rPr>
      </w:pPr>
      <w:r>
        <w:rPr>
          <w:color w:val="000000"/>
          <w:lang w:val="vi-VN"/>
        </w:rPr>
        <w:tab/>
      </w:r>
      <w:r w:rsidR="005A0599">
        <w:rPr>
          <w:color w:val="000000"/>
          <w:lang w:val="vi-VN"/>
        </w:rPr>
        <w:t>Các nội dung khác tôi hoàn toàn đồng tình, không có ý kiến gì thêm./.</w:t>
      </w:r>
    </w:p>
    <w:p w:rsidR="004F7F8B" w:rsidRPr="00BD03B7" w:rsidRDefault="004F7F8B" w:rsidP="0063719E">
      <w:pPr>
        <w:jc w:val="both"/>
        <w:rPr>
          <w:b/>
          <w:lang w:val="vi-VN"/>
        </w:rPr>
      </w:pPr>
    </w:p>
    <w:sectPr w:rsidR="004F7F8B" w:rsidRPr="00BD03B7" w:rsidSect="005A059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85" w:rsidRDefault="00614A85" w:rsidP="005A0599">
      <w:pPr>
        <w:spacing w:before="0" w:after="0"/>
      </w:pPr>
      <w:r>
        <w:separator/>
      </w:r>
    </w:p>
  </w:endnote>
  <w:endnote w:type="continuationSeparator" w:id="0">
    <w:p w:rsidR="00614A85" w:rsidRDefault="00614A85" w:rsidP="005A05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85" w:rsidRDefault="00614A85" w:rsidP="005A0599">
      <w:pPr>
        <w:spacing w:before="0" w:after="0"/>
      </w:pPr>
      <w:r>
        <w:separator/>
      </w:r>
    </w:p>
  </w:footnote>
  <w:footnote w:type="continuationSeparator" w:id="0">
    <w:p w:rsidR="00614A85" w:rsidRDefault="00614A85" w:rsidP="005A059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461086"/>
      <w:docPartObj>
        <w:docPartGallery w:val="Page Numbers (Top of Page)"/>
        <w:docPartUnique/>
      </w:docPartObj>
    </w:sdtPr>
    <w:sdtEndPr>
      <w:rPr>
        <w:noProof/>
      </w:rPr>
    </w:sdtEndPr>
    <w:sdtContent>
      <w:p w:rsidR="005A0599" w:rsidRDefault="005A0599">
        <w:pPr>
          <w:pStyle w:val="Header"/>
          <w:jc w:val="center"/>
        </w:pPr>
        <w:r>
          <w:fldChar w:fldCharType="begin"/>
        </w:r>
        <w:r>
          <w:instrText xml:space="preserve"> PAGE   \* MERGEFORMAT </w:instrText>
        </w:r>
        <w:r>
          <w:fldChar w:fldCharType="separate"/>
        </w:r>
        <w:r w:rsidR="001D6382">
          <w:rPr>
            <w:noProof/>
          </w:rPr>
          <w:t>2</w:t>
        </w:r>
        <w:r>
          <w:rPr>
            <w:noProof/>
          </w:rPr>
          <w:fldChar w:fldCharType="end"/>
        </w:r>
      </w:p>
    </w:sdtContent>
  </w:sdt>
  <w:p w:rsidR="005A0599" w:rsidRDefault="005A0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B7"/>
    <w:rsid w:val="00034926"/>
    <w:rsid w:val="00061477"/>
    <w:rsid w:val="00080CEE"/>
    <w:rsid w:val="000F2C4D"/>
    <w:rsid w:val="00166C3B"/>
    <w:rsid w:val="001D6382"/>
    <w:rsid w:val="00246A82"/>
    <w:rsid w:val="002659F2"/>
    <w:rsid w:val="00320DD9"/>
    <w:rsid w:val="003A2AF3"/>
    <w:rsid w:val="00425E83"/>
    <w:rsid w:val="004943FB"/>
    <w:rsid w:val="004A7CED"/>
    <w:rsid w:val="004F7F8B"/>
    <w:rsid w:val="00563082"/>
    <w:rsid w:val="00593441"/>
    <w:rsid w:val="005A0599"/>
    <w:rsid w:val="005E0E0C"/>
    <w:rsid w:val="00614A85"/>
    <w:rsid w:val="0063719E"/>
    <w:rsid w:val="007138E0"/>
    <w:rsid w:val="0074336C"/>
    <w:rsid w:val="007C6F6D"/>
    <w:rsid w:val="00814293"/>
    <w:rsid w:val="008345C1"/>
    <w:rsid w:val="008E50D4"/>
    <w:rsid w:val="00940FA4"/>
    <w:rsid w:val="009C16F5"/>
    <w:rsid w:val="00A14CB0"/>
    <w:rsid w:val="00A32061"/>
    <w:rsid w:val="00A50A62"/>
    <w:rsid w:val="00A57185"/>
    <w:rsid w:val="00A9388E"/>
    <w:rsid w:val="00AC5F12"/>
    <w:rsid w:val="00AC6818"/>
    <w:rsid w:val="00B00C10"/>
    <w:rsid w:val="00B97AE6"/>
    <w:rsid w:val="00BB2BEE"/>
    <w:rsid w:val="00BC3931"/>
    <w:rsid w:val="00BD03B7"/>
    <w:rsid w:val="00C063AD"/>
    <w:rsid w:val="00CC4425"/>
    <w:rsid w:val="00D700CF"/>
    <w:rsid w:val="00D7220C"/>
    <w:rsid w:val="00EB7C57"/>
    <w:rsid w:val="00EC23F3"/>
    <w:rsid w:val="00FC52B5"/>
    <w:rsid w:val="00FD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99"/>
    <w:pPr>
      <w:tabs>
        <w:tab w:val="center" w:pos="4680"/>
        <w:tab w:val="right" w:pos="9360"/>
      </w:tabs>
      <w:spacing w:before="0" w:after="0"/>
    </w:pPr>
  </w:style>
  <w:style w:type="character" w:customStyle="1" w:styleId="HeaderChar">
    <w:name w:val="Header Char"/>
    <w:basedOn w:val="DefaultParagraphFont"/>
    <w:link w:val="Header"/>
    <w:uiPriority w:val="99"/>
    <w:rsid w:val="005A0599"/>
  </w:style>
  <w:style w:type="paragraph" w:styleId="Footer">
    <w:name w:val="footer"/>
    <w:basedOn w:val="Normal"/>
    <w:link w:val="FooterChar"/>
    <w:uiPriority w:val="99"/>
    <w:unhideWhenUsed/>
    <w:rsid w:val="005A0599"/>
    <w:pPr>
      <w:tabs>
        <w:tab w:val="center" w:pos="4680"/>
        <w:tab w:val="right" w:pos="9360"/>
      </w:tabs>
      <w:spacing w:before="0" w:after="0"/>
    </w:pPr>
  </w:style>
  <w:style w:type="character" w:customStyle="1" w:styleId="FooterChar">
    <w:name w:val="Footer Char"/>
    <w:basedOn w:val="DefaultParagraphFont"/>
    <w:link w:val="Footer"/>
    <w:uiPriority w:val="99"/>
    <w:rsid w:val="005A0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99"/>
    <w:pPr>
      <w:tabs>
        <w:tab w:val="center" w:pos="4680"/>
        <w:tab w:val="right" w:pos="9360"/>
      </w:tabs>
      <w:spacing w:before="0" w:after="0"/>
    </w:pPr>
  </w:style>
  <w:style w:type="character" w:customStyle="1" w:styleId="HeaderChar">
    <w:name w:val="Header Char"/>
    <w:basedOn w:val="DefaultParagraphFont"/>
    <w:link w:val="Header"/>
    <w:uiPriority w:val="99"/>
    <w:rsid w:val="005A0599"/>
  </w:style>
  <w:style w:type="paragraph" w:styleId="Footer">
    <w:name w:val="footer"/>
    <w:basedOn w:val="Normal"/>
    <w:link w:val="FooterChar"/>
    <w:uiPriority w:val="99"/>
    <w:unhideWhenUsed/>
    <w:rsid w:val="005A0599"/>
    <w:pPr>
      <w:tabs>
        <w:tab w:val="center" w:pos="4680"/>
        <w:tab w:val="right" w:pos="9360"/>
      </w:tabs>
      <w:spacing w:before="0" w:after="0"/>
    </w:pPr>
  </w:style>
  <w:style w:type="character" w:customStyle="1" w:styleId="FooterChar">
    <w:name w:val="Footer Char"/>
    <w:basedOn w:val="DefaultParagraphFont"/>
    <w:link w:val="Footer"/>
    <w:uiPriority w:val="99"/>
    <w:rsid w:val="005A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5</cp:revision>
  <dcterms:created xsi:type="dcterms:W3CDTF">2025-05-14T07:45:00Z</dcterms:created>
  <dcterms:modified xsi:type="dcterms:W3CDTF">2025-05-15T00:50:00Z</dcterms:modified>
</cp:coreProperties>
</file>