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3511"/>
        <w:gridCol w:w="5777"/>
      </w:tblGrid>
      <w:tr>
        <w:tc>
          <w:tcPr>
            <w:tcW w:w="3348" w:type="dxa"/>
            <w:shd w:val="clear" w:color="auto" w:fill="auto"/>
            <w:tcMar>
              <w:top w:w="0" w:type="dxa"/>
              <w:left w:w="108" w:type="dxa"/>
              <w:bottom w:w="0" w:type="dxa"/>
              <w:right w:w="108" w:type="dxa"/>
            </w:tcMar>
          </w:tcPr>
          <w:p>
            <w:pPr>
              <w:spacing w:before="60" w:after="60"/>
              <w:jc w:val="center"/>
              <w:rPr>
                <w:sz w:val="18"/>
                <w:szCs w:val="18"/>
              </w:rPr>
            </w:pPr>
            <w:r>
              <w:rPr>
                <w:b/>
                <w:bCs/>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471483</wp:posOffset>
                      </wp:positionV>
                      <wp:extent cx="673354" cy="0"/>
                      <wp:effectExtent l="0" t="0" r="1270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354"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9pt;margin-top:37.1pt;width: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" strokeweight="1pt"/>
                  </w:pict>
                </mc:Fallback>
              </mc:AlternateContent>
            </w:r>
            <w:r>
              <w:rPr>
                <w:b/>
                <w:bCs/>
                <w:sz w:val="26"/>
                <w:szCs w:val="26"/>
              </w:rPr>
              <w:t>HỘI ĐỒNG NHÂN DÂN</w:t>
            </w:r>
            <w:r>
              <w:rPr>
                <w:b/>
                <w:bCs/>
                <w:sz w:val="26"/>
                <w:szCs w:val="26"/>
              </w:rPr>
              <w:br/>
              <w:t>TỈNH HÀ TĨNH</w:t>
            </w:r>
            <w:r>
              <w:rPr>
                <w:b/>
                <w:bCs/>
                <w:sz w:val="26"/>
                <w:szCs w:val="26"/>
              </w:rPr>
              <w:br/>
            </w:r>
          </w:p>
        </w:tc>
        <w:tc>
          <w:tcPr>
            <w:tcW w:w="5508" w:type="dxa"/>
            <w:shd w:val="clear" w:color="auto" w:fill="auto"/>
            <w:tcMar>
              <w:top w:w="0" w:type="dxa"/>
              <w:left w:w="108" w:type="dxa"/>
              <w:bottom w:w="0" w:type="dxa"/>
              <w:right w:w="108" w:type="dxa"/>
            </w:tcMar>
          </w:tcPr>
          <w:p>
            <w:pPr>
              <w:spacing w:before="60" w:after="60"/>
              <w:jc w:val="center"/>
            </w:pPr>
            <w:r>
              <w:rPr>
                <w:b/>
                <w:bCs/>
                <w:noProof/>
                <w:sz w:val="26"/>
                <w:szCs w:val="26"/>
                <w:lang w:val="vi-VN" w:eastAsia="vi-VN"/>
              </w:rPr>
              <mc:AlternateContent>
                <mc:Choice Requires="wps">
                  <w:drawing>
                    <wp:anchor distT="0" distB="0" distL="114300" distR="114300" simplePos="0" relativeHeight="251663360" behindDoc="0" locked="0" layoutInCell="1" allowOverlap="1">
                      <wp:simplePos x="0" y="0"/>
                      <wp:positionH relativeFrom="column">
                        <wp:posOffset>690880</wp:posOffset>
                      </wp:positionH>
                      <wp:positionV relativeFrom="paragraph">
                        <wp:posOffset>492950</wp:posOffset>
                      </wp:positionV>
                      <wp:extent cx="2180202" cy="0"/>
                      <wp:effectExtent l="0" t="0" r="10795" b="19050"/>
                      <wp:wrapNone/>
                      <wp:docPr id="5" name="Straight Connector 5"/>
                      <wp:cNvGraphicFramePr/>
                      <a:graphic xmlns:a="http://schemas.openxmlformats.org/drawingml/2006/main">
                        <a:graphicData uri="http://schemas.microsoft.com/office/word/2010/wordprocessingShape">
                          <wps:wsp>
                            <wps:cNvCnPr/>
                            <wps:spPr>
                              <a:xfrm>
                                <a:off x="0" y="0"/>
                                <a:ext cx="2180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4pt,38.8pt" to="226.0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" strokecolor="black [3200]" strokeweight=".5pt">
                      <v:stroke joinstyle="miter"/>
                    </v:line>
                  </w:pict>
                </mc:Fallback>
              </mc:AlternateContent>
            </w:r>
            <w:r>
              <w:rPr>
                <w:b/>
                <w:bCs/>
                <w:sz w:val="26"/>
                <w:szCs w:val="26"/>
              </w:rPr>
              <w:t>CỘNG HÒA XÃ HỘI CHỦ NGHĨA VIỆT NAM</w:t>
            </w:r>
            <w:r>
              <w:rPr>
                <w:b/>
                <w:bCs/>
                <w:sz w:val="26"/>
                <w:szCs w:val="26"/>
              </w:rPr>
              <w:br/>
            </w:r>
            <w:r>
              <w:rPr>
                <w:b/>
                <w:bCs/>
                <w:sz w:val="28"/>
                <w:szCs w:val="28"/>
              </w:rPr>
              <w:t>Độc lập - Tự do - Hạnh phúc</w:t>
            </w:r>
            <w:r>
              <w:rPr>
                <w:b/>
                <w:bCs/>
                <w:sz w:val="26"/>
                <w:szCs w:val="26"/>
              </w:rPr>
              <w:t xml:space="preserve"> </w:t>
            </w:r>
            <w:r>
              <w:rPr>
                <w:b/>
                <w:bCs/>
              </w:rPr>
              <w:br/>
            </w:r>
          </w:p>
        </w:tc>
      </w:tr>
      <w:tr>
        <w:tc>
          <w:tcPr>
            <w:tcW w:w="3348" w:type="dxa"/>
            <w:shd w:val="clear" w:color="auto" w:fill="auto"/>
            <w:tcMar>
              <w:top w:w="0" w:type="dxa"/>
              <w:left w:w="108" w:type="dxa"/>
              <w:bottom w:w="0" w:type="dxa"/>
              <w:right w:w="108" w:type="dxa"/>
            </w:tcMar>
          </w:tcPr>
          <w:p>
            <w:pPr>
              <w:spacing w:before="60" w:after="60"/>
              <w:jc w:val="center"/>
              <w:rPr>
                <w:sz w:val="28"/>
              </w:rPr>
            </w:pPr>
            <w:r>
              <w:rPr>
                <w:sz w:val="28"/>
              </w:rPr>
              <w:t xml:space="preserve">Số: 147/2025/NQ-HĐND </w:t>
            </w:r>
          </w:p>
        </w:tc>
        <w:tc>
          <w:tcPr>
            <w:tcW w:w="5508" w:type="dxa"/>
            <w:shd w:val="clear" w:color="auto" w:fill="auto"/>
            <w:tcMar>
              <w:top w:w="0" w:type="dxa"/>
              <w:left w:w="108" w:type="dxa"/>
              <w:bottom w:w="0" w:type="dxa"/>
              <w:right w:w="108" w:type="dxa"/>
            </w:tcMar>
          </w:tcPr>
          <w:p>
            <w:pPr>
              <w:spacing w:before="60" w:after="60"/>
              <w:jc w:val="center"/>
            </w:pPr>
            <w:r>
              <w:rPr>
                <w:i/>
                <w:iCs/>
                <w:sz w:val="28"/>
              </w:rPr>
              <w:t>Hà Tĩnh, ngày 29 tháng 4 năm 2025</w:t>
            </w:r>
          </w:p>
        </w:tc>
      </w:tr>
    </w:tbl>
    <w:p>
      <w:pPr>
        <w:jc w:val="center"/>
        <w:rPr>
          <w:sz w:val="28"/>
          <w:szCs w:val="28"/>
        </w:rPr>
      </w:pPr>
    </w:p>
    <w:p>
      <w:pPr>
        <w:jc w:val="center"/>
        <w:rPr>
          <w:sz w:val="28"/>
          <w:szCs w:val="28"/>
        </w:rPr>
      </w:pPr>
    </w:p>
    <w:p>
      <w:pPr>
        <w:jc w:val="center"/>
        <w:rPr>
          <w:sz w:val="28"/>
          <w:szCs w:val="28"/>
        </w:rPr>
      </w:pPr>
      <w:r>
        <w:rPr>
          <w:b/>
          <w:bCs/>
          <w:sz w:val="28"/>
          <w:szCs w:val="28"/>
        </w:rPr>
        <w:t>NGHỊ QUYẾT</w:t>
      </w:r>
    </w:p>
    <w:p>
      <w:pPr>
        <w:jc w:val="center"/>
        <w:rPr>
          <w:b/>
          <w:bCs/>
          <w:sz w:val="28"/>
          <w:szCs w:val="28"/>
        </w:rPr>
      </w:pPr>
      <w:r>
        <w:rPr>
          <w:b/>
          <w:bCs/>
          <w:sz w:val="28"/>
          <w:szCs w:val="28"/>
        </w:rPr>
        <w:t>Quy định thẩm quyền quyết định thanh lý rừng trồng</w:t>
      </w:r>
    </w:p>
    <w:p>
      <w:pPr>
        <w:jc w:val="center"/>
        <w:rPr>
          <w:b/>
          <w:bCs/>
          <w:sz w:val="28"/>
          <w:szCs w:val="28"/>
        </w:rPr>
      </w:pPr>
      <w:r>
        <w:rPr>
          <w:b/>
          <w:bCs/>
          <w:sz w:val="28"/>
          <w:szCs w:val="28"/>
        </w:rPr>
        <w:t xml:space="preserve">thuộc phạm vi quản lý của tỉnh Hà Tĩnh </w:t>
      </w:r>
    </w:p>
    <w:p>
      <w:pPr>
        <w:jc w:val="center"/>
        <w:rPr>
          <w:b/>
          <w:bCs/>
          <w:sz w:val="28"/>
          <w:szCs w:val="28"/>
        </w:rPr>
      </w:pPr>
      <w:r>
        <w:rPr>
          <w:b/>
          <w:bCs/>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2330450</wp:posOffset>
                </wp:positionH>
                <wp:positionV relativeFrom="paragraph">
                  <wp:posOffset>27305</wp:posOffset>
                </wp:positionV>
                <wp:extent cx="1200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5pt,2.15pt" to="2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" strokecolor="black [3200]" strokeweight=".5pt">
                <v:stroke joinstyle="miter"/>
              </v:line>
            </w:pict>
          </mc:Fallback>
        </mc:AlternateContent>
      </w:r>
    </w:p>
    <w:p>
      <w:pPr>
        <w:widowControl w:val="0"/>
        <w:tabs>
          <w:tab w:val="left" w:pos="1110"/>
        </w:tabs>
        <w:spacing w:before="120" w:after="120"/>
        <w:ind w:firstLine="720"/>
        <w:rPr>
          <w:i/>
          <w:iCs/>
          <w:spacing w:val="-2"/>
          <w:sz w:val="28"/>
          <w:szCs w:val="28"/>
        </w:rPr>
      </w:pPr>
      <w:r>
        <w:rPr>
          <w:i/>
          <w:iCs/>
          <w:spacing w:val="-2"/>
          <w:sz w:val="28"/>
          <w:szCs w:val="28"/>
        </w:rPr>
        <w:t>Căn cứ Luật Tổ chức chính quyền địa phương ngày 19 tháng 02 năm 2025;</w:t>
      </w:r>
    </w:p>
    <w:p>
      <w:pPr>
        <w:widowControl w:val="0"/>
        <w:spacing w:before="120" w:after="120"/>
        <w:ind w:firstLine="720"/>
        <w:jc w:val="both"/>
        <w:rPr>
          <w:i/>
          <w:iCs/>
          <w:sz w:val="28"/>
          <w:szCs w:val="28"/>
        </w:rPr>
      </w:pPr>
      <w:r>
        <w:rPr>
          <w:i/>
          <w:iCs/>
          <w:sz w:val="28"/>
          <w:szCs w:val="28"/>
        </w:rPr>
        <w:t>Căn cứ Luật Ban hành văn bản quy phạm pháp luật ngày 19 tháng 02 năm 2025;</w:t>
      </w:r>
    </w:p>
    <w:p>
      <w:pPr>
        <w:widowControl w:val="0"/>
        <w:spacing w:before="120" w:after="120"/>
        <w:ind w:firstLine="720"/>
        <w:jc w:val="both"/>
        <w:rPr>
          <w:i/>
          <w:iCs/>
          <w:sz w:val="28"/>
          <w:szCs w:val="28"/>
        </w:rPr>
      </w:pPr>
      <w:r>
        <w:rPr>
          <w:i/>
          <w:iCs/>
          <w:sz w:val="28"/>
          <w:szCs w:val="28"/>
        </w:rPr>
        <w:t>Căn cứ Luật Đầu tư công ngày 29 tháng 11 năm 2024;</w:t>
      </w:r>
    </w:p>
    <w:p>
      <w:pPr>
        <w:widowControl w:val="0"/>
        <w:spacing w:before="120" w:after="120"/>
        <w:ind w:firstLine="720"/>
        <w:jc w:val="both"/>
        <w:rPr>
          <w:i/>
          <w:iCs/>
          <w:sz w:val="28"/>
          <w:szCs w:val="28"/>
        </w:rPr>
      </w:pPr>
      <w:r>
        <w:rPr>
          <w:i/>
          <w:iCs/>
          <w:sz w:val="28"/>
          <w:szCs w:val="28"/>
        </w:rPr>
        <w:t>Căn cứ Luật Quản lý, sử dụng tài sản công ngày 21 tháng 6 năm 2017;</w:t>
      </w:r>
    </w:p>
    <w:p>
      <w:pPr>
        <w:widowControl w:val="0"/>
        <w:spacing w:before="120" w:after="120"/>
        <w:ind w:firstLine="720"/>
        <w:jc w:val="both"/>
        <w:rPr>
          <w:i/>
          <w:iCs/>
          <w:sz w:val="28"/>
          <w:szCs w:val="28"/>
        </w:rPr>
      </w:pPr>
      <w:r>
        <w:rPr>
          <w:i/>
          <w:iCs/>
          <w:sz w:val="28"/>
          <w:szCs w:val="28"/>
        </w:rPr>
        <w:t>Căn cứ Luật Lâm nghiệp ngày 15 tháng 11 năm 2017;</w:t>
      </w:r>
    </w:p>
    <w:p>
      <w:pPr>
        <w:widowControl w:val="0"/>
        <w:spacing w:before="120" w:after="120"/>
        <w:ind w:firstLine="720"/>
        <w:jc w:val="both"/>
        <w:rPr>
          <w:i/>
          <w:iCs/>
          <w:sz w:val="28"/>
          <w:szCs w:val="28"/>
        </w:rPr>
      </w:pPr>
      <w:r>
        <w:rPr>
          <w:i/>
          <w:iCs/>
          <w:sz w:val="28"/>
          <w:szCs w:val="28"/>
        </w:rPr>
        <w:t>Căn cứ Nghị định số 140/2024/NĐ-CP ngày 25 tháng 10 năm 2024 của Chính phủ quy định về thanh lý rừng trồng;</w:t>
      </w:r>
    </w:p>
    <w:p>
      <w:pPr>
        <w:widowControl w:val="0"/>
        <w:spacing w:before="120" w:after="120"/>
        <w:ind w:firstLine="720"/>
        <w:jc w:val="both"/>
        <w:rPr>
          <w:i/>
          <w:iCs/>
          <w:sz w:val="28"/>
          <w:szCs w:val="28"/>
        </w:rPr>
      </w:pPr>
      <w:r>
        <w:rPr>
          <w:i/>
          <w:iCs/>
          <w:sz w:val="28"/>
          <w:szCs w:val="28"/>
        </w:rPr>
        <w:t>Xét Tờ trình số 192/TTr-UBND ngày 22 tháng 4 năm 2025 của Ủy ban nhân dân tỉnh về quy định thẩm quyề</w:t>
      </w:r>
      <w:bookmarkStart w:id="0" w:name="_GoBack"/>
      <w:bookmarkEnd w:id="0"/>
      <w:r>
        <w:rPr>
          <w:i/>
          <w:iCs/>
          <w:sz w:val="28"/>
          <w:szCs w:val="28"/>
        </w:rPr>
        <w:t xml:space="preserve">n </w:t>
      </w:r>
      <w:r>
        <w:rPr>
          <w:bCs/>
          <w:i/>
          <w:sz w:val="28"/>
          <w:szCs w:val="28"/>
        </w:rPr>
        <w:t>quyết định thanh lý rừng trồng thuộc sở hữu toàn dân; xử lý chi phí thanh lý rừng trồng trong trường hợp không có nguồn thu từ bán lâm sản hoặc nguồn thu từ bán lâm sản nhỏ hơn chi phí thực hiện thanh lý rừng trồng thuộc sở hữu toàn dân trên địa bàn tỉnh Hà Tĩnh</w:t>
      </w:r>
      <w:r>
        <w:rPr>
          <w:i/>
          <w:iCs/>
          <w:sz w:val="28"/>
          <w:szCs w:val="28"/>
        </w:rPr>
        <w:t>; Báo cáo thẩm tra số 181/BC-HĐND ngày 28 tháng 4 năm 2025 của Ban Kinh tế - Ngân sách Hội đồng nhân dân tỉnh; ý kiến thống nhất của đại biểu Hội đồng nhân dân tại kỳ họp;</w:t>
      </w:r>
    </w:p>
    <w:p>
      <w:pPr>
        <w:widowControl w:val="0"/>
        <w:spacing w:before="120" w:after="120"/>
        <w:ind w:firstLine="720"/>
        <w:jc w:val="both"/>
        <w:rPr>
          <w:bCs/>
          <w:i/>
          <w:sz w:val="28"/>
          <w:szCs w:val="28"/>
        </w:rPr>
      </w:pPr>
      <w:r>
        <w:rPr>
          <w:i/>
          <w:iCs/>
          <w:sz w:val="28"/>
          <w:szCs w:val="28"/>
        </w:rPr>
        <w:t xml:space="preserve">Hội đồng nhân dân tỉnh ban hành Nghị quyết Quy định thẩm quyền quyết định </w:t>
      </w:r>
      <w:r>
        <w:rPr>
          <w:bCs/>
          <w:i/>
          <w:sz w:val="28"/>
          <w:szCs w:val="28"/>
        </w:rPr>
        <w:t>thanh lý rừng trồng thuộc phạm vi quản lý của tỉnh Hà Tĩnh.</w:t>
      </w:r>
    </w:p>
    <w:p>
      <w:pPr>
        <w:widowControl w:val="0"/>
        <w:spacing w:before="120" w:after="120" w:line="340" w:lineRule="exact"/>
        <w:ind w:firstLine="720"/>
        <w:jc w:val="both"/>
        <w:rPr>
          <w:sz w:val="28"/>
          <w:szCs w:val="28"/>
        </w:rPr>
      </w:pPr>
      <w:r>
        <w:rPr>
          <w:b/>
          <w:bCs/>
          <w:sz w:val="28"/>
          <w:szCs w:val="28"/>
        </w:rPr>
        <w:t>Điều 1. Phạm vi điều chỉnh</w:t>
      </w:r>
    </w:p>
    <w:p>
      <w:pPr>
        <w:widowControl w:val="0"/>
        <w:spacing w:before="120" w:after="120" w:line="340" w:lineRule="exact"/>
        <w:ind w:firstLine="720"/>
        <w:jc w:val="both"/>
        <w:rPr>
          <w:spacing w:val="-4"/>
          <w:sz w:val="28"/>
          <w:szCs w:val="28"/>
        </w:rPr>
      </w:pPr>
      <w:r>
        <w:rPr>
          <w:spacing w:val="-4"/>
          <w:sz w:val="28"/>
          <w:szCs w:val="28"/>
        </w:rPr>
        <w:t>1. Nghị quyết này quy định thẩm quyền quyết định thanh lý rừng trồng thuộc sở hữu toàn dân thuộc phạm vi quản lý của tỉnh Hà Tĩnh.</w:t>
      </w:r>
    </w:p>
    <w:p>
      <w:pPr>
        <w:widowControl w:val="0"/>
        <w:spacing w:before="120" w:after="120" w:line="340" w:lineRule="exact"/>
        <w:ind w:firstLine="720"/>
        <w:jc w:val="both"/>
        <w:rPr>
          <w:sz w:val="28"/>
          <w:szCs w:val="28"/>
        </w:rPr>
      </w:pPr>
      <w:r>
        <w:rPr>
          <w:sz w:val="28"/>
          <w:szCs w:val="28"/>
        </w:rPr>
        <w:t>2. Những nội dung quy định về thanh lý rừng trồng thuộc sở hữu toàn dân không quy định tại Nghị quyết này thì thực hiện theo quy định tại Nghị định số 140/2024/NĐ-CP ngày 25 tháng 10 năm 2024 của Chính phủ và các quy định pháp luật hiện hành có liên quan.</w:t>
      </w:r>
    </w:p>
    <w:p>
      <w:pPr>
        <w:widowControl w:val="0"/>
        <w:spacing w:before="120" w:after="120" w:line="340" w:lineRule="exact"/>
        <w:ind w:firstLine="720"/>
        <w:jc w:val="both"/>
        <w:rPr>
          <w:sz w:val="28"/>
          <w:szCs w:val="28"/>
        </w:rPr>
      </w:pPr>
      <w:r>
        <w:rPr>
          <w:b/>
          <w:bCs/>
          <w:sz w:val="28"/>
          <w:szCs w:val="28"/>
        </w:rPr>
        <w:t>Điều 2. Đối tượng áp dụng</w:t>
      </w:r>
    </w:p>
    <w:p>
      <w:pPr>
        <w:widowControl w:val="0"/>
        <w:spacing w:before="120" w:after="120" w:line="340" w:lineRule="exact"/>
        <w:ind w:firstLine="720"/>
        <w:jc w:val="both"/>
        <w:rPr>
          <w:sz w:val="28"/>
          <w:szCs w:val="28"/>
          <w:lang w:val="it-IT"/>
        </w:rPr>
      </w:pPr>
      <w:r>
        <w:rPr>
          <w:sz w:val="28"/>
          <w:szCs w:val="28"/>
          <w:lang w:val="it-IT"/>
        </w:rPr>
        <w:t>Cơ quan nhà nước, tổ chức, hộ gia đình, cá nhân, cộng đồng dân cư có liên quan đến các hoạt động thanh lý rừng trồng thuộc sở hữu toàn dân thuộc phạm vi quản lý của tỉnh Hà Tĩnh.</w:t>
      </w:r>
    </w:p>
    <w:p>
      <w:pPr>
        <w:widowControl w:val="0"/>
        <w:spacing w:before="120" w:after="120" w:line="340" w:lineRule="exact"/>
        <w:ind w:firstLine="720"/>
        <w:jc w:val="both"/>
        <w:rPr>
          <w:rFonts w:ascii="Times New Roman Bold" w:hAnsi="Times New Roman Bold"/>
          <w:b/>
          <w:bCs/>
          <w:sz w:val="28"/>
          <w:szCs w:val="28"/>
        </w:rPr>
      </w:pPr>
      <w:r>
        <w:rPr>
          <w:rFonts w:ascii="Times New Roman Bold" w:hAnsi="Times New Roman Bold"/>
          <w:b/>
          <w:bCs/>
          <w:sz w:val="28"/>
          <w:szCs w:val="28"/>
        </w:rPr>
        <w:lastRenderedPageBreak/>
        <w:t>Điều 3. Thẩm quyền quyết định thanh lý rừng trồng thuộc sở hữu toàn dân</w:t>
      </w:r>
    </w:p>
    <w:p>
      <w:pPr>
        <w:widowControl w:val="0"/>
        <w:spacing w:before="120" w:after="120" w:line="340" w:lineRule="exact"/>
        <w:ind w:firstLine="720"/>
        <w:jc w:val="both"/>
        <w:rPr>
          <w:b/>
          <w:bCs/>
          <w:sz w:val="28"/>
          <w:szCs w:val="28"/>
          <w:lang w:val="it-IT"/>
        </w:rPr>
      </w:pPr>
      <w:r>
        <w:rPr>
          <w:sz w:val="28"/>
          <w:szCs w:val="28"/>
        </w:rPr>
        <w:t>Ủy ban nhân dân tỉnh quyết định thanh lý rừng trồng thuộc phạm vi quản lý của</w:t>
      </w:r>
      <w:r>
        <w:rPr>
          <w:sz w:val="28"/>
          <w:szCs w:val="28"/>
          <w:lang w:val="pt-BR"/>
        </w:rPr>
        <w:t xml:space="preserve"> tỉnh Hà Tĩnh</w:t>
      </w:r>
      <w:r>
        <w:rPr>
          <w:sz w:val="28"/>
          <w:szCs w:val="28"/>
          <w:lang w:val="it-IT"/>
        </w:rPr>
        <w:t>.</w:t>
      </w:r>
    </w:p>
    <w:p>
      <w:pPr>
        <w:widowControl w:val="0"/>
        <w:spacing w:before="120" w:after="120" w:line="340" w:lineRule="exact"/>
        <w:ind w:firstLine="720"/>
        <w:jc w:val="both"/>
        <w:rPr>
          <w:sz w:val="28"/>
          <w:szCs w:val="28"/>
        </w:rPr>
      </w:pPr>
      <w:r>
        <w:rPr>
          <w:b/>
          <w:bCs/>
          <w:sz w:val="28"/>
          <w:szCs w:val="28"/>
        </w:rPr>
        <w:t>Điều 4. Tổ chức thực hiện</w:t>
      </w:r>
    </w:p>
    <w:p>
      <w:pPr>
        <w:widowControl w:val="0"/>
        <w:spacing w:before="120" w:after="120" w:line="340" w:lineRule="exact"/>
        <w:ind w:firstLine="720"/>
        <w:jc w:val="both"/>
        <w:rPr>
          <w:sz w:val="28"/>
          <w:szCs w:val="28"/>
        </w:rPr>
      </w:pPr>
      <w:r>
        <w:rPr>
          <w:sz w:val="28"/>
          <w:szCs w:val="28"/>
        </w:rPr>
        <w:t>1. Ủy ban nhân dân tỉnh tổ chức thực hiện Nghị quyết.</w:t>
      </w:r>
    </w:p>
    <w:p>
      <w:pPr>
        <w:widowControl w:val="0"/>
        <w:spacing w:before="120" w:after="120" w:line="340" w:lineRule="exact"/>
        <w:ind w:firstLine="720"/>
        <w:jc w:val="both"/>
        <w:rPr>
          <w:sz w:val="28"/>
          <w:szCs w:val="28"/>
        </w:rPr>
      </w:pPr>
      <w:r>
        <w:rPr>
          <w:sz w:val="28"/>
          <w:szCs w:val="28"/>
        </w:rPr>
        <w:t>2. Thường trực Hội đồng nhân dân, các Ban Hội đồng nhân dân, các Tổ đại biểu Hội đồng nhân dân và đại biểu Hội đồng nhân dân tỉnh giám sát việc thực hiện Nghị quyết.</w:t>
      </w:r>
    </w:p>
    <w:p>
      <w:pPr>
        <w:widowControl w:val="0"/>
        <w:spacing w:before="120" w:after="120" w:line="340" w:lineRule="exact"/>
        <w:ind w:firstLine="720"/>
        <w:jc w:val="both"/>
        <w:rPr>
          <w:i/>
          <w:sz w:val="28"/>
          <w:szCs w:val="28"/>
        </w:rPr>
      </w:pPr>
      <w:r>
        <w:rPr>
          <w:i/>
          <w:sz w:val="28"/>
          <w:szCs w:val="28"/>
        </w:rPr>
        <w:t>Nghị quyết này đã được Hội đồng nhân dân tỉnh Hà Tĩnh khóa XVIII, Kỳ họp thứ 27 thông qua ngày 29 tháng 4 năm 2025 và có hiệu lực từ ngày 09 tháng 5 năm 2025./.</w:t>
      </w:r>
    </w:p>
    <w:tbl>
      <w:tblPr>
        <w:tblW w:w="5000" w:type="pct"/>
        <w:tblLook w:val="00A0" w:firstRow="1" w:lastRow="0" w:firstColumn="1" w:lastColumn="0" w:noHBand="0" w:noVBand="0"/>
      </w:tblPr>
      <w:tblGrid>
        <w:gridCol w:w="5707"/>
        <w:gridCol w:w="3581"/>
      </w:tblGrid>
      <w:tr>
        <w:tc>
          <w:tcPr>
            <w:tcW w:w="3072" w:type="pct"/>
          </w:tcPr>
          <w:p>
            <w:pPr>
              <w:rPr>
                <w:bCs/>
                <w:iCs/>
                <w:noProof/>
                <w:sz w:val="6"/>
                <w:szCs w:val="10"/>
                <w:lang w:eastAsia="en-GB"/>
              </w:rPr>
            </w:pPr>
          </w:p>
          <w:p>
            <w:pPr>
              <w:rPr>
                <w:b/>
                <w:i/>
                <w:noProof/>
                <w:szCs w:val="28"/>
                <w:lang w:val="vi-VN" w:eastAsia="en-GB"/>
              </w:rPr>
            </w:pPr>
            <w:r>
              <w:rPr>
                <w:b/>
                <w:i/>
                <w:noProof/>
                <w:szCs w:val="28"/>
                <w:lang w:val="vi-VN" w:eastAsia="en-GB"/>
              </w:rPr>
              <w:t>Nơi nhận:</w:t>
            </w:r>
          </w:p>
          <w:p>
            <w:pPr>
              <w:rPr>
                <w:noProof/>
                <w:sz w:val="22"/>
                <w:szCs w:val="22"/>
                <w:lang w:eastAsia="en-GB"/>
              </w:rPr>
            </w:pPr>
            <w:r>
              <w:rPr>
                <w:noProof/>
                <w:sz w:val="22"/>
                <w:szCs w:val="22"/>
                <w:lang w:val="vi-VN" w:eastAsia="en-GB"/>
              </w:rPr>
              <w:t>- Ủy ban Thường vụ Quốc hội;</w:t>
            </w:r>
          </w:p>
          <w:p>
            <w:pPr>
              <w:rPr>
                <w:noProof/>
                <w:sz w:val="22"/>
                <w:szCs w:val="22"/>
                <w:lang w:val="vi-VN" w:eastAsia="en-GB"/>
              </w:rPr>
            </w:pPr>
            <w:r>
              <w:rPr>
                <w:noProof/>
                <w:sz w:val="22"/>
                <w:szCs w:val="22"/>
                <w:lang w:eastAsia="en-GB"/>
              </w:rPr>
              <w:t>- Văn phòng</w:t>
            </w:r>
            <w:r>
              <w:rPr>
                <w:noProof/>
                <w:sz w:val="22"/>
                <w:szCs w:val="22"/>
                <w:lang w:val="vi-VN" w:eastAsia="en-GB"/>
              </w:rPr>
              <w:t xml:space="preserve"> Chính phủ;</w:t>
            </w:r>
          </w:p>
          <w:p>
            <w:pPr>
              <w:rPr>
                <w:noProof/>
                <w:sz w:val="22"/>
                <w:szCs w:val="22"/>
                <w:lang w:eastAsia="en-GB"/>
              </w:rPr>
            </w:pPr>
            <w:r>
              <w:rPr>
                <w:noProof/>
                <w:sz w:val="22"/>
                <w:szCs w:val="22"/>
                <w:lang w:eastAsia="en-GB"/>
              </w:rPr>
              <w:t>- Bộ Nông nghiệp và Môi trường;</w:t>
            </w:r>
          </w:p>
          <w:p>
            <w:pPr>
              <w:rPr>
                <w:noProof/>
                <w:sz w:val="22"/>
                <w:szCs w:val="22"/>
                <w:lang w:eastAsia="en-GB"/>
              </w:rPr>
            </w:pPr>
            <w:r>
              <w:rPr>
                <w:noProof/>
                <w:sz w:val="22"/>
                <w:szCs w:val="22"/>
                <w:lang w:eastAsia="en-GB"/>
              </w:rPr>
              <w:t xml:space="preserve">- Kiểm toán Nhà nước khu vực II; </w:t>
            </w:r>
          </w:p>
          <w:p>
            <w:pPr>
              <w:rPr>
                <w:noProof/>
                <w:sz w:val="22"/>
                <w:szCs w:val="22"/>
                <w:lang w:eastAsia="en-GB"/>
              </w:rPr>
            </w:pPr>
            <w:r>
              <w:rPr>
                <w:noProof/>
                <w:sz w:val="22"/>
                <w:szCs w:val="22"/>
                <w:lang w:val="vi-VN" w:eastAsia="en-GB"/>
              </w:rPr>
              <w:t>- T</w:t>
            </w:r>
            <w:r>
              <w:rPr>
                <w:noProof/>
                <w:sz w:val="22"/>
                <w:szCs w:val="22"/>
                <w:lang w:val="en-US" w:eastAsia="en-GB"/>
              </w:rPr>
              <w:t>hường trực</w:t>
            </w:r>
            <w:r>
              <w:rPr>
                <w:noProof/>
                <w:sz w:val="22"/>
                <w:szCs w:val="22"/>
                <w:lang w:val="vi-VN" w:eastAsia="en-GB"/>
              </w:rPr>
              <w:t xml:space="preserve"> Tỉnh </w:t>
            </w:r>
            <w:r>
              <w:rPr>
                <w:noProof/>
                <w:sz w:val="22"/>
                <w:szCs w:val="22"/>
                <w:lang w:val="en-US" w:eastAsia="en-GB"/>
              </w:rPr>
              <w:t>ủy</w:t>
            </w:r>
            <w:r>
              <w:rPr>
                <w:noProof/>
                <w:sz w:val="22"/>
                <w:szCs w:val="22"/>
                <w:lang w:val="vi-VN" w:eastAsia="en-GB"/>
              </w:rPr>
              <w:t>, HĐND</w:t>
            </w:r>
            <w:r>
              <w:rPr>
                <w:noProof/>
                <w:sz w:val="22"/>
                <w:szCs w:val="22"/>
                <w:lang w:eastAsia="en-GB"/>
              </w:rPr>
              <w:t>, UBND, UBMTTQ tỉnh</w:t>
            </w:r>
            <w:r>
              <w:rPr>
                <w:noProof/>
                <w:sz w:val="22"/>
                <w:szCs w:val="22"/>
                <w:lang w:val="vi-VN" w:eastAsia="en-GB"/>
              </w:rPr>
              <w:t>;</w:t>
            </w:r>
          </w:p>
          <w:p>
            <w:pPr>
              <w:rPr>
                <w:noProof/>
                <w:sz w:val="22"/>
                <w:szCs w:val="22"/>
                <w:lang w:val="vi-VN" w:eastAsia="en-GB"/>
              </w:rPr>
            </w:pPr>
            <w:r>
              <w:rPr>
                <w:noProof/>
                <w:sz w:val="22"/>
                <w:szCs w:val="22"/>
                <w:lang w:val="vi-VN" w:eastAsia="en-GB"/>
              </w:rPr>
              <w:t xml:space="preserve">- Đại biểu Quốc hội </w:t>
            </w:r>
            <w:r>
              <w:rPr>
                <w:noProof/>
                <w:sz w:val="22"/>
                <w:szCs w:val="22"/>
                <w:lang w:eastAsia="en-GB"/>
              </w:rPr>
              <w:t>Đoàn Hà Tĩnh</w:t>
            </w:r>
            <w:r>
              <w:rPr>
                <w:noProof/>
                <w:sz w:val="22"/>
                <w:szCs w:val="22"/>
                <w:lang w:val="vi-VN" w:eastAsia="en-GB"/>
              </w:rPr>
              <w:t>;</w:t>
            </w:r>
          </w:p>
          <w:p>
            <w:pPr>
              <w:rPr>
                <w:noProof/>
                <w:sz w:val="22"/>
                <w:szCs w:val="22"/>
                <w:lang w:val="vi-VN" w:eastAsia="en-GB"/>
              </w:rPr>
            </w:pPr>
            <w:r>
              <w:rPr>
                <w:noProof/>
                <w:sz w:val="22"/>
                <w:szCs w:val="22"/>
                <w:lang w:val="vi-VN" w:eastAsia="en-GB"/>
              </w:rPr>
              <w:t>- Đại biểu HĐND tỉnh</w:t>
            </w:r>
            <w:r>
              <w:rPr>
                <w:noProof/>
                <w:sz w:val="22"/>
                <w:szCs w:val="22"/>
                <w:lang w:val="en-US" w:eastAsia="en-GB"/>
              </w:rPr>
              <w:t xml:space="preserve"> khóa XVIII</w:t>
            </w:r>
            <w:r>
              <w:rPr>
                <w:noProof/>
                <w:sz w:val="22"/>
                <w:szCs w:val="22"/>
                <w:lang w:val="vi-VN" w:eastAsia="en-GB"/>
              </w:rPr>
              <w:t>;</w:t>
            </w:r>
          </w:p>
          <w:p>
            <w:pPr>
              <w:rPr>
                <w:noProof/>
                <w:sz w:val="22"/>
                <w:szCs w:val="22"/>
                <w:lang w:eastAsia="en-GB"/>
              </w:rPr>
            </w:pPr>
            <w:r>
              <w:rPr>
                <w:noProof/>
                <w:sz w:val="22"/>
                <w:szCs w:val="22"/>
                <w:lang w:val="vi-VN" w:eastAsia="en-GB"/>
              </w:rPr>
              <w:t xml:space="preserve">- Các VP: Tỉnh </w:t>
            </w:r>
            <w:r>
              <w:rPr>
                <w:noProof/>
                <w:sz w:val="22"/>
                <w:szCs w:val="22"/>
                <w:lang w:val="en-US" w:eastAsia="en-GB"/>
              </w:rPr>
              <w:t>ủy</w:t>
            </w:r>
            <w:r>
              <w:rPr>
                <w:noProof/>
                <w:sz w:val="22"/>
                <w:szCs w:val="22"/>
                <w:lang w:val="vi-VN" w:eastAsia="en-GB"/>
              </w:rPr>
              <w:t>, Đoàn ĐBQH</w:t>
            </w:r>
            <w:r>
              <w:rPr>
                <w:noProof/>
                <w:sz w:val="22"/>
                <w:szCs w:val="22"/>
                <w:lang w:eastAsia="en-GB"/>
              </w:rPr>
              <w:t>&amp;</w:t>
            </w:r>
            <w:r>
              <w:rPr>
                <w:noProof/>
                <w:sz w:val="22"/>
                <w:szCs w:val="22"/>
                <w:lang w:val="vi-VN" w:eastAsia="en-GB"/>
              </w:rPr>
              <w:t>HĐND, UBND</w:t>
            </w:r>
            <w:r>
              <w:rPr>
                <w:noProof/>
                <w:sz w:val="22"/>
                <w:szCs w:val="22"/>
                <w:lang w:eastAsia="en-GB"/>
              </w:rPr>
              <w:t xml:space="preserve"> tỉnh;</w:t>
            </w:r>
            <w:r>
              <w:rPr>
                <w:noProof/>
                <w:sz w:val="22"/>
                <w:szCs w:val="22"/>
                <w:lang w:val="vi-VN" w:eastAsia="en-GB"/>
              </w:rPr>
              <w:t xml:space="preserve"> </w:t>
            </w:r>
          </w:p>
          <w:p>
            <w:pPr>
              <w:rPr>
                <w:noProof/>
                <w:sz w:val="22"/>
                <w:szCs w:val="22"/>
                <w:lang w:val="vi-VN" w:eastAsia="en-GB"/>
              </w:rPr>
            </w:pPr>
            <w:r>
              <w:rPr>
                <w:noProof/>
                <w:sz w:val="22"/>
                <w:szCs w:val="22"/>
                <w:lang w:val="vi-VN" w:eastAsia="en-GB"/>
              </w:rPr>
              <w:t>- Các sở, ban, ngành, đoàn thể cấp tỉnh;</w:t>
            </w:r>
          </w:p>
          <w:p>
            <w:pPr>
              <w:rPr>
                <w:noProof/>
                <w:sz w:val="22"/>
                <w:szCs w:val="22"/>
                <w:lang w:eastAsia="en-GB"/>
              </w:rPr>
            </w:pPr>
            <w:r>
              <w:rPr>
                <w:noProof/>
                <w:sz w:val="22"/>
                <w:szCs w:val="22"/>
                <w:lang w:val="vi-VN" w:eastAsia="en-GB"/>
              </w:rPr>
              <w:t>- HĐND, UBND các huyện, thành phố, thị xã;</w:t>
            </w:r>
          </w:p>
          <w:p>
            <w:pPr>
              <w:rPr>
                <w:noProof/>
                <w:sz w:val="22"/>
                <w:szCs w:val="22"/>
                <w:lang w:eastAsia="en-GB"/>
              </w:rPr>
            </w:pPr>
            <w:r>
              <w:rPr>
                <w:noProof/>
                <w:sz w:val="22"/>
                <w:szCs w:val="22"/>
                <w:lang w:val="vi-VN" w:eastAsia="en-GB"/>
              </w:rPr>
              <w:t xml:space="preserve">- </w:t>
            </w:r>
            <w:r>
              <w:rPr>
                <w:noProof/>
                <w:sz w:val="22"/>
                <w:szCs w:val="22"/>
                <w:lang w:eastAsia="en-GB"/>
              </w:rPr>
              <w:t>Cổng</w:t>
            </w:r>
            <w:r>
              <w:rPr>
                <w:noProof/>
                <w:sz w:val="22"/>
                <w:szCs w:val="22"/>
                <w:lang w:val="vi-VN" w:eastAsia="en-GB"/>
              </w:rPr>
              <w:t xml:space="preserve"> thông tin điện tử tỉnh</w:t>
            </w:r>
            <w:r>
              <w:rPr>
                <w:noProof/>
                <w:sz w:val="22"/>
                <w:szCs w:val="22"/>
                <w:lang w:val="en-US" w:eastAsia="en-GB"/>
              </w:rPr>
              <w:t xml:space="preserve">, </w:t>
            </w:r>
            <w:r>
              <w:rPr>
                <w:noProof/>
                <w:sz w:val="22"/>
                <w:szCs w:val="22"/>
                <w:lang w:val="vi-VN" w:eastAsia="en-GB"/>
              </w:rPr>
              <w:t xml:space="preserve">Trung tâm </w:t>
            </w:r>
            <w:r>
              <w:rPr>
                <w:noProof/>
                <w:sz w:val="22"/>
                <w:szCs w:val="22"/>
                <w:lang w:eastAsia="en-GB"/>
              </w:rPr>
              <w:t>CB - TH;</w:t>
            </w:r>
          </w:p>
          <w:p>
            <w:pPr>
              <w:rPr>
                <w:noProof/>
                <w:szCs w:val="28"/>
                <w:lang w:val="en-US" w:eastAsia="en-GB"/>
              </w:rPr>
            </w:pPr>
            <w:r>
              <w:rPr>
                <w:noProof/>
                <w:sz w:val="22"/>
                <w:szCs w:val="22"/>
                <w:lang w:val="vi-VN" w:eastAsia="en-GB"/>
              </w:rPr>
              <w:t>- Lưu: VT</w:t>
            </w:r>
            <w:r>
              <w:rPr>
                <w:noProof/>
                <w:sz w:val="22"/>
                <w:szCs w:val="22"/>
                <w:lang w:eastAsia="en-GB"/>
              </w:rPr>
              <w:t>, HĐ</w:t>
            </w:r>
            <w:r>
              <w:rPr>
                <w:noProof/>
                <w:sz w:val="22"/>
                <w:szCs w:val="22"/>
                <w:vertAlign w:val="subscript"/>
                <w:lang w:eastAsia="en-GB"/>
              </w:rPr>
              <w:t>3</w:t>
            </w:r>
            <w:r>
              <w:rPr>
                <w:noProof/>
                <w:sz w:val="22"/>
                <w:szCs w:val="22"/>
                <w:lang w:eastAsia="en-GB"/>
              </w:rPr>
              <w:t>, TH</w:t>
            </w:r>
            <w:r>
              <w:rPr>
                <w:noProof/>
                <w:sz w:val="22"/>
                <w:szCs w:val="22"/>
                <w:vertAlign w:val="subscript"/>
                <w:lang w:val="en-US" w:eastAsia="en-GB"/>
              </w:rPr>
              <w:t>3</w:t>
            </w:r>
            <w:r>
              <w:rPr>
                <w:noProof/>
                <w:sz w:val="22"/>
                <w:szCs w:val="22"/>
                <w:lang w:val="en-US" w:eastAsia="en-GB"/>
              </w:rPr>
              <w:t>, TH.</w:t>
            </w:r>
          </w:p>
        </w:tc>
        <w:tc>
          <w:tcPr>
            <w:tcW w:w="1928" w:type="pct"/>
          </w:tcPr>
          <w:p>
            <w:pPr>
              <w:jc w:val="center"/>
              <w:rPr>
                <w:b/>
                <w:noProof/>
                <w:sz w:val="28"/>
                <w:szCs w:val="28"/>
                <w:lang w:val="en-US" w:eastAsia="en-GB"/>
              </w:rPr>
            </w:pPr>
            <w:r>
              <w:rPr>
                <w:b/>
                <w:noProof/>
                <w:sz w:val="28"/>
                <w:szCs w:val="28"/>
                <w:lang w:val="en-US" w:eastAsia="en-GB"/>
              </w:rPr>
              <w:t xml:space="preserve">KT. </w:t>
            </w:r>
            <w:r>
              <w:rPr>
                <w:b/>
                <w:noProof/>
                <w:sz w:val="28"/>
                <w:szCs w:val="28"/>
                <w:lang w:val="vi-VN" w:eastAsia="en-GB"/>
              </w:rPr>
              <w:t>CHỦ TỊCH</w:t>
            </w:r>
          </w:p>
          <w:p>
            <w:pPr>
              <w:jc w:val="center"/>
              <w:rPr>
                <w:b/>
                <w:noProof/>
                <w:sz w:val="28"/>
                <w:szCs w:val="28"/>
                <w:lang w:val="en-US" w:eastAsia="en-GB"/>
              </w:rPr>
            </w:pPr>
            <w:r>
              <w:rPr>
                <w:b/>
                <w:noProof/>
                <w:sz w:val="28"/>
                <w:szCs w:val="28"/>
                <w:lang w:val="en-US" w:eastAsia="en-GB"/>
              </w:rPr>
              <w:t>PHÓ CHỦ TỊCH</w:t>
            </w:r>
          </w:p>
          <w:p>
            <w:pPr>
              <w:jc w:val="center"/>
              <w:rPr>
                <w:b/>
                <w:noProof/>
                <w:sz w:val="28"/>
                <w:szCs w:val="28"/>
                <w:lang w:val="vi-VN" w:eastAsia="en-GB"/>
              </w:rPr>
            </w:pPr>
          </w:p>
          <w:p>
            <w:pPr>
              <w:jc w:val="center"/>
              <w:rPr>
                <w:b/>
                <w:noProof/>
                <w:sz w:val="28"/>
                <w:szCs w:val="28"/>
                <w:lang w:eastAsia="en-GB"/>
              </w:rPr>
            </w:pPr>
          </w:p>
          <w:p>
            <w:pPr>
              <w:jc w:val="center"/>
              <w:rPr>
                <w:b/>
                <w:noProof/>
                <w:sz w:val="28"/>
                <w:szCs w:val="28"/>
                <w:lang w:eastAsia="en-GB"/>
              </w:rPr>
            </w:pPr>
          </w:p>
          <w:p>
            <w:pPr>
              <w:jc w:val="center"/>
              <w:rPr>
                <w:b/>
                <w:noProof/>
                <w:sz w:val="28"/>
                <w:szCs w:val="28"/>
                <w:lang w:val="vi-VN" w:eastAsia="en-GB"/>
              </w:rPr>
            </w:pPr>
          </w:p>
          <w:p>
            <w:pPr>
              <w:jc w:val="center"/>
              <w:rPr>
                <w:b/>
                <w:noProof/>
                <w:sz w:val="28"/>
                <w:szCs w:val="28"/>
                <w:lang w:val="vi-VN" w:eastAsia="en-GB"/>
              </w:rPr>
            </w:pPr>
          </w:p>
          <w:p>
            <w:pPr>
              <w:jc w:val="center"/>
              <w:rPr>
                <w:b/>
                <w:noProof/>
                <w:sz w:val="2"/>
                <w:szCs w:val="28"/>
                <w:lang w:eastAsia="en-GB"/>
              </w:rPr>
            </w:pPr>
          </w:p>
          <w:p>
            <w:pPr>
              <w:jc w:val="center"/>
              <w:rPr>
                <w:b/>
                <w:noProof/>
                <w:sz w:val="28"/>
                <w:szCs w:val="28"/>
                <w:lang w:val="en-GB" w:eastAsia="en-GB"/>
              </w:rPr>
            </w:pPr>
          </w:p>
          <w:p>
            <w:pPr>
              <w:jc w:val="center"/>
              <w:rPr>
                <w:b/>
                <w:noProof/>
                <w:sz w:val="28"/>
                <w:szCs w:val="28"/>
                <w:lang w:eastAsia="en-GB"/>
              </w:rPr>
            </w:pPr>
          </w:p>
          <w:p>
            <w:pPr>
              <w:jc w:val="center"/>
              <w:rPr>
                <w:b/>
                <w:noProof/>
                <w:sz w:val="28"/>
                <w:szCs w:val="28"/>
                <w:lang w:eastAsia="en-GB"/>
              </w:rPr>
            </w:pPr>
            <w:r>
              <w:rPr>
                <w:b/>
                <w:noProof/>
                <w:sz w:val="28"/>
                <w:szCs w:val="28"/>
                <w:lang w:eastAsia="en-GB"/>
              </w:rPr>
              <w:t>Trần Tú Anh</w:t>
            </w:r>
          </w:p>
        </w:tc>
      </w:tr>
    </w:tbl>
    <w:p>
      <w:pPr>
        <w:jc w:val="both"/>
        <w:rPr>
          <w:sz w:val="28"/>
          <w:szCs w:val="28"/>
        </w:rPr>
      </w:pPr>
    </w:p>
    <w:sectPr>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49965"/>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lang w:val="en-SG" w:eastAsia="en-SG"/>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lang w:val="en-SG" w:eastAsia="en-SG"/>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S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cs="Times New Roman"/>
      <w:sz w:val="24"/>
      <w:szCs w:val="24"/>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lang w:val="en-SG" w:eastAsia="en-SG"/>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lang w:val="en-SG" w:eastAsia="en-SG"/>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22208-2EBA-46D6-8436-4689A8F9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34</cp:revision>
  <cp:lastPrinted>2025-04-11T02:59:00Z</cp:lastPrinted>
  <dcterms:created xsi:type="dcterms:W3CDTF">2025-04-28T11:13:00Z</dcterms:created>
  <dcterms:modified xsi:type="dcterms:W3CDTF">2025-05-06T01:35:00Z</dcterms:modified>
</cp:coreProperties>
</file>